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A5" w:rsidRPr="0048398F" w:rsidRDefault="003C04A5" w:rsidP="00D222E6">
      <w:pPr>
        <w:tabs>
          <w:tab w:val="left" w:pos="720"/>
        </w:tabs>
        <w:spacing w:after="0" w:line="276" w:lineRule="auto"/>
        <w:rPr>
          <w:rFonts w:asciiTheme="minorHAnsi" w:hAnsiTheme="minorHAnsi" w:cstheme="minorHAnsi"/>
          <w:szCs w:val="24"/>
          <w:shd w:val="clear" w:color="auto" w:fill="FFFFFF"/>
        </w:rPr>
      </w:pPr>
    </w:p>
    <w:p w:rsidR="003C04A5" w:rsidRPr="00E87A45" w:rsidRDefault="004C29D9" w:rsidP="00D222E6">
      <w:pPr>
        <w:tabs>
          <w:tab w:val="left" w:pos="720"/>
        </w:tabs>
        <w:spacing w:after="0" w:line="276" w:lineRule="auto"/>
        <w:jc w:val="center"/>
        <w:rPr>
          <w:rFonts w:cs="Times New Roman"/>
          <w:b/>
          <w:szCs w:val="24"/>
          <w:shd w:val="clear" w:color="auto" w:fill="FFFFFF"/>
        </w:rPr>
      </w:pPr>
      <w:r w:rsidRPr="00E87A45">
        <w:rPr>
          <w:rFonts w:cs="Times New Roman"/>
          <w:b/>
          <w:szCs w:val="24"/>
          <w:shd w:val="clear" w:color="auto" w:fill="FFFFFF"/>
        </w:rPr>
        <w:t xml:space="preserve">Influence of Diet on Human Gut </w:t>
      </w:r>
      <w:proofErr w:type="spellStart"/>
      <w:r w:rsidRPr="00E87A45">
        <w:rPr>
          <w:rFonts w:cs="Times New Roman"/>
          <w:b/>
          <w:szCs w:val="24"/>
          <w:shd w:val="clear" w:color="auto" w:fill="FFFFFF"/>
        </w:rPr>
        <w:t>Microbiome</w:t>
      </w:r>
      <w:proofErr w:type="spellEnd"/>
      <w:r w:rsidRPr="00E87A45">
        <w:rPr>
          <w:rFonts w:cs="Times New Roman"/>
          <w:b/>
          <w:szCs w:val="24"/>
          <w:shd w:val="clear" w:color="auto" w:fill="FFFFFF"/>
        </w:rPr>
        <w:t xml:space="preserve"> and its resulting Physiological Changes</w:t>
      </w:r>
    </w:p>
    <w:p w:rsidR="003C04A5" w:rsidRPr="00E87A45" w:rsidRDefault="003C04A5" w:rsidP="00D222E6">
      <w:pPr>
        <w:tabs>
          <w:tab w:val="left" w:pos="720"/>
        </w:tabs>
        <w:spacing w:after="0" w:line="276" w:lineRule="auto"/>
        <w:jc w:val="center"/>
        <w:rPr>
          <w:rFonts w:cs="Times New Roman"/>
          <w:szCs w:val="24"/>
          <w:shd w:val="clear" w:color="auto" w:fill="FFFFFF"/>
        </w:rPr>
      </w:pPr>
    </w:p>
    <w:p w:rsidR="003C04A5" w:rsidRPr="00E87A45" w:rsidRDefault="004C29D9" w:rsidP="00D222E6">
      <w:pPr>
        <w:tabs>
          <w:tab w:val="left" w:pos="720"/>
        </w:tabs>
        <w:spacing w:after="0" w:line="276" w:lineRule="auto"/>
        <w:jc w:val="center"/>
        <w:rPr>
          <w:rFonts w:cs="Times New Roman"/>
          <w:szCs w:val="24"/>
          <w:shd w:val="clear" w:color="auto" w:fill="FFFFFF"/>
        </w:rPr>
      </w:pPr>
      <w:proofErr w:type="spellStart"/>
      <w:r w:rsidRPr="00E87A45">
        <w:rPr>
          <w:rFonts w:cs="Times New Roman"/>
          <w:szCs w:val="24"/>
          <w:shd w:val="clear" w:color="auto" w:fill="FFFFFF"/>
        </w:rPr>
        <w:t>Vamsi</w:t>
      </w:r>
      <w:proofErr w:type="spellEnd"/>
      <w:r w:rsidRPr="00E87A45">
        <w:rPr>
          <w:rFonts w:cs="Times New Roman"/>
          <w:szCs w:val="24"/>
          <w:shd w:val="clear" w:color="auto" w:fill="FFFFFF"/>
        </w:rPr>
        <w:t xml:space="preserve"> </w:t>
      </w:r>
      <w:proofErr w:type="spellStart"/>
      <w:r w:rsidRPr="00E87A45">
        <w:rPr>
          <w:rFonts w:cs="Times New Roman"/>
          <w:szCs w:val="24"/>
          <w:shd w:val="clear" w:color="auto" w:fill="FFFFFF"/>
        </w:rPr>
        <w:t>Kanumuri</w:t>
      </w:r>
      <w:proofErr w:type="spellEnd"/>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Lamar University</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Vertebrate Natural History</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Professor</w:t>
      </w:r>
      <w:r w:rsidR="00806A7D" w:rsidRPr="00E87A45">
        <w:rPr>
          <w:rFonts w:cs="Times New Roman"/>
          <w:szCs w:val="24"/>
          <w:shd w:val="clear" w:color="auto" w:fill="FFFFFF"/>
        </w:rPr>
        <w:t xml:space="preserve">: </w:t>
      </w:r>
      <w:proofErr w:type="spellStart"/>
      <w:r w:rsidR="00806A7D" w:rsidRPr="00E87A45">
        <w:rPr>
          <w:rFonts w:cs="Times New Roman"/>
          <w:szCs w:val="24"/>
          <w:shd w:val="clear" w:color="auto" w:fill="FFFFFF"/>
        </w:rPr>
        <w:t>Dr</w:t>
      </w:r>
      <w:proofErr w:type="spellEnd"/>
      <w:r w:rsidR="00806A7D" w:rsidRPr="00E87A45">
        <w:rPr>
          <w:rFonts w:cs="Times New Roman"/>
          <w:szCs w:val="24"/>
          <w:shd w:val="clear" w:color="auto" w:fill="FFFFFF"/>
        </w:rPr>
        <w:t xml:space="preserve"> Jim </w:t>
      </w:r>
      <w:proofErr w:type="spellStart"/>
      <w:r w:rsidR="00806A7D" w:rsidRPr="00E87A45">
        <w:rPr>
          <w:rFonts w:cs="Times New Roman"/>
          <w:szCs w:val="24"/>
          <w:shd w:val="clear" w:color="auto" w:fill="FFFFFF"/>
        </w:rPr>
        <w:t>Armacost</w:t>
      </w:r>
      <w:proofErr w:type="spellEnd"/>
    </w:p>
    <w:p w:rsidR="003C04A5" w:rsidRPr="00E87A45" w:rsidRDefault="003C04A5" w:rsidP="00D222E6">
      <w:pPr>
        <w:tabs>
          <w:tab w:val="left" w:pos="720"/>
        </w:tabs>
        <w:spacing w:after="0" w:line="276" w:lineRule="auto"/>
        <w:rPr>
          <w:rFonts w:cs="Times New Roman"/>
          <w:szCs w:val="24"/>
          <w:shd w:val="clear" w:color="auto" w:fill="FFFFFF"/>
        </w:rPr>
      </w:pPr>
    </w:p>
    <w:p w:rsidR="003C04A5" w:rsidRPr="00E87A45" w:rsidRDefault="003C04A5" w:rsidP="00D222E6">
      <w:pPr>
        <w:tabs>
          <w:tab w:val="left" w:pos="720"/>
        </w:tabs>
        <w:spacing w:after="0" w:line="276" w:lineRule="auto"/>
        <w:rPr>
          <w:rFonts w:cs="Times New Roman"/>
          <w:szCs w:val="24"/>
        </w:rPr>
      </w:pPr>
    </w:p>
    <w:p w:rsidR="003C04A5" w:rsidRPr="00E87A45" w:rsidRDefault="003C04A5" w:rsidP="00D222E6">
      <w:pPr>
        <w:tabs>
          <w:tab w:val="left" w:pos="720"/>
        </w:tabs>
        <w:spacing w:after="0" w:line="276" w:lineRule="auto"/>
        <w:rPr>
          <w:rFonts w:cs="Times New Roman"/>
          <w:szCs w:val="24"/>
        </w:rPr>
      </w:pPr>
    </w:p>
    <w:p w:rsidR="003C04A5" w:rsidRPr="00E87A45" w:rsidRDefault="004C29D9" w:rsidP="00D222E6">
      <w:pPr>
        <w:tabs>
          <w:tab w:val="left" w:pos="720"/>
          <w:tab w:val="left" w:pos="7125"/>
        </w:tabs>
        <w:spacing w:after="0" w:line="276" w:lineRule="auto"/>
        <w:rPr>
          <w:rFonts w:cs="Times New Roman"/>
          <w:b/>
          <w:szCs w:val="24"/>
        </w:rPr>
      </w:pPr>
      <w:r w:rsidRPr="00E87A45">
        <w:rPr>
          <w:rFonts w:cs="Times New Roman"/>
          <w:b/>
          <w:szCs w:val="24"/>
        </w:rPr>
        <w:t>Introduction</w:t>
      </w:r>
      <w:r w:rsidR="000807B3" w:rsidRPr="00E87A45">
        <w:rPr>
          <w:rFonts w:cs="Times New Roman"/>
          <w:b/>
          <w:szCs w:val="24"/>
        </w:rPr>
        <w:t xml:space="preserve"> and Background information</w:t>
      </w:r>
    </w:p>
    <w:p w:rsidR="00893CC1" w:rsidRPr="00E87A45" w:rsidRDefault="00893CC1" w:rsidP="00D222E6">
      <w:pPr>
        <w:tabs>
          <w:tab w:val="left" w:pos="720"/>
          <w:tab w:val="left" w:pos="7125"/>
        </w:tabs>
        <w:spacing w:after="0" w:line="276" w:lineRule="auto"/>
        <w:rPr>
          <w:rFonts w:cs="Times New Roman"/>
          <w:b/>
          <w:szCs w:val="24"/>
        </w:rPr>
      </w:pPr>
    </w:p>
    <w:p w:rsidR="00E87A45" w:rsidRPr="00E87A45" w:rsidRDefault="004C29D9" w:rsidP="00E87A45">
      <w:pPr>
        <w:pStyle w:val="NormalWeb"/>
        <w:spacing w:before="0" w:beforeAutospacing="0" w:after="0" w:afterAutospacing="0" w:line="480" w:lineRule="auto"/>
        <w:ind w:firstLine="720"/>
        <w:rPr>
          <w:color w:val="0E101A"/>
        </w:rPr>
      </w:pPr>
      <w:r w:rsidRPr="00E87A45">
        <w:rPr>
          <w:color w:val="0E101A"/>
        </w:rPr>
        <w:t xml:space="preserve"> In human beings, trillion microbes live and have evolved for generations. With a rise in technology and the invention of new tools, a unique insight views the hosts and microbes. The recent literature suggests that the </w:t>
      </w:r>
      <w:proofErr w:type="spellStart"/>
      <w:proofErr w:type="gramStart"/>
      <w:r w:rsidRPr="00E87A45">
        <w:rPr>
          <w:color w:val="0E101A"/>
        </w:rPr>
        <w:t>microbiota</w:t>
      </w:r>
      <w:proofErr w:type="spellEnd"/>
      <w:r w:rsidRPr="00E87A45">
        <w:rPr>
          <w:color w:val="0E101A"/>
        </w:rPr>
        <w:t xml:space="preserve"> in human beings play a key role and are</w:t>
      </w:r>
      <w:proofErr w:type="gramEnd"/>
      <w:r w:rsidRPr="00E87A45">
        <w:rPr>
          <w:color w:val="0E101A"/>
        </w:rPr>
        <w:t xml:space="preserve"> essential in the progression of major diseases affecting humans. For example, diseases like obesity, cardiovascular disease, cancer, gout, inflammatory bowel disease, arthritis, and depression. The human gut is a complex system that has human cells, but it also hosts microbes. The changing body's design is rooted in the ribosomal RNA, and the encoding occurs on the genes that surprisingly are related to increasing microbes in human beings. The </w:t>
      </w:r>
      <w:proofErr w:type="spellStart"/>
      <w:r w:rsidRPr="00E87A45">
        <w:rPr>
          <w:color w:val="0E101A"/>
        </w:rPr>
        <w:t>microbiota</w:t>
      </w:r>
      <w:proofErr w:type="spellEnd"/>
      <w:r w:rsidRPr="00E87A45">
        <w:rPr>
          <w:color w:val="0E101A"/>
        </w:rPr>
        <w:t xml:space="preserve"> composition can be assessed using various methods, especially how microbial diversity is related to diet, health, disease, genotype, and geographic location. For many years, intestinal </w:t>
      </w:r>
      <w:proofErr w:type="spellStart"/>
      <w:r w:rsidRPr="00E87A45">
        <w:rPr>
          <w:color w:val="0E101A"/>
        </w:rPr>
        <w:t>microbiota</w:t>
      </w:r>
      <w:proofErr w:type="spellEnd"/>
      <w:r w:rsidRPr="00E87A45">
        <w:rPr>
          <w:color w:val="0E101A"/>
        </w:rPr>
        <w:t xml:space="preserve"> has been measured using effective methods such as transcriptional profiling in gene expression, a global measure that gives new insights into our health and microbes. Such information is vital for the host and its influence on </w:t>
      </w:r>
      <w:proofErr w:type="spellStart"/>
      <w:r w:rsidRPr="00E87A45">
        <w:rPr>
          <w:color w:val="0E101A"/>
        </w:rPr>
        <w:t>microbiota</w:t>
      </w:r>
      <w:proofErr w:type="spellEnd"/>
      <w:r w:rsidRPr="00E87A45">
        <w:rPr>
          <w:color w:val="0E101A"/>
        </w:rPr>
        <w:t xml:space="preserve"> to provide a cure, take preventative measures, and health promotion. </w:t>
      </w:r>
    </w:p>
    <w:p w:rsidR="00E87A45" w:rsidRPr="00E87A45" w:rsidRDefault="004C29D9" w:rsidP="00E87A45">
      <w:pPr>
        <w:pStyle w:val="NormalWeb"/>
        <w:tabs>
          <w:tab w:val="left" w:pos="6945"/>
        </w:tabs>
        <w:spacing w:before="0" w:beforeAutospacing="0" w:after="0" w:afterAutospacing="0" w:line="480" w:lineRule="auto"/>
        <w:ind w:firstLine="720"/>
        <w:rPr>
          <w:color w:val="0E101A"/>
        </w:rPr>
      </w:pPr>
      <w:r w:rsidRPr="00E87A45">
        <w:rPr>
          <w:color w:val="0E101A"/>
        </w:rPr>
        <w:tab/>
      </w:r>
    </w:p>
    <w:p w:rsidR="00E87A45" w:rsidRPr="00E87A45" w:rsidRDefault="004C29D9" w:rsidP="00E87A45">
      <w:pPr>
        <w:pStyle w:val="NormalWeb"/>
        <w:spacing w:before="0" w:beforeAutospacing="0" w:after="0" w:afterAutospacing="0" w:line="480" w:lineRule="auto"/>
        <w:ind w:firstLine="720"/>
        <w:rPr>
          <w:color w:val="0E101A"/>
        </w:rPr>
      </w:pPr>
      <w:r w:rsidRPr="00E87A45">
        <w:rPr>
          <w:color w:val="0E101A"/>
        </w:rPr>
        <w:t xml:space="preserve">Worldwide there are several microbial ecosystems and human interactions that are the most complex ecosystems to study. A free germ study on mice revealed that most chemicals </w:t>
      </w:r>
      <w:r w:rsidRPr="00E87A45">
        <w:rPr>
          <w:color w:val="0E101A"/>
        </w:rPr>
        <w:lastRenderedPageBreak/>
        <w:t xml:space="preserve">circulating in the blood depend on </w:t>
      </w:r>
      <w:proofErr w:type="spellStart"/>
      <w:r w:rsidRPr="00E87A45">
        <w:rPr>
          <w:color w:val="0E101A"/>
        </w:rPr>
        <w:t>microbiome</w:t>
      </w:r>
      <w:proofErr w:type="spellEnd"/>
      <w:r w:rsidRPr="00E87A45">
        <w:rPr>
          <w:color w:val="0E101A"/>
        </w:rPr>
        <w:t xml:space="preserve"> richness.  However, a majority of them are also modified in the hosts' body. The chemicals in the body are responsible for neuroendocrine and mammalian </w:t>
      </w:r>
      <w:proofErr w:type="spellStart"/>
      <w:r w:rsidRPr="00E87A45">
        <w:rPr>
          <w:color w:val="0E101A"/>
        </w:rPr>
        <w:t>behaviour</w:t>
      </w:r>
      <w:proofErr w:type="spellEnd"/>
      <w:r w:rsidRPr="00E87A45">
        <w:rPr>
          <w:color w:val="0E101A"/>
        </w:rPr>
        <w:t xml:space="preserve">. According to </w:t>
      </w:r>
      <w:proofErr w:type="spellStart"/>
      <w:r w:rsidRPr="00E87A45">
        <w:rPr>
          <w:color w:val="0E101A"/>
        </w:rPr>
        <w:t>Zoetendal</w:t>
      </w:r>
      <w:proofErr w:type="spellEnd"/>
      <w:r w:rsidRPr="00E87A45">
        <w:rPr>
          <w:color w:val="0E101A"/>
        </w:rPr>
        <w:t xml:space="preserve">, Vaughan &amp; De </w:t>
      </w:r>
      <w:proofErr w:type="spellStart"/>
      <w:r w:rsidRPr="00E87A45">
        <w:rPr>
          <w:color w:val="0E101A"/>
        </w:rPr>
        <w:t>Vos</w:t>
      </w:r>
      <w:proofErr w:type="spellEnd"/>
      <w:r w:rsidRPr="00E87A45">
        <w:rPr>
          <w:color w:val="0E101A"/>
        </w:rPr>
        <w:t xml:space="preserve"> (2006), in the study of GF (germ-free) mice, total reversible colonization of intestinal bacteria occurs in their early life and not present in adulthood. In the human body, the </w:t>
      </w:r>
      <w:proofErr w:type="spellStart"/>
      <w:r w:rsidRPr="00E87A45">
        <w:rPr>
          <w:color w:val="0E101A"/>
        </w:rPr>
        <w:t>microbiome</w:t>
      </w:r>
      <w:proofErr w:type="spellEnd"/>
      <w:r w:rsidRPr="00E87A45">
        <w:rPr>
          <w:color w:val="0E101A"/>
        </w:rPr>
        <w:t xml:space="preserve"> numbered around thirty-seven trillion, and for an adult, 4 million typical bacterial genes are localized in the colon. A majority of these genes encodes for structural proteins and enzymes hence influence mammalian cells functioning. The </w:t>
      </w:r>
      <w:proofErr w:type="spellStart"/>
      <w:r w:rsidRPr="00E87A45">
        <w:rPr>
          <w:color w:val="0E101A"/>
        </w:rPr>
        <w:t>microbiota</w:t>
      </w:r>
      <w:proofErr w:type="spellEnd"/>
      <w:r w:rsidRPr="00E87A45">
        <w:rPr>
          <w:color w:val="0E101A"/>
        </w:rPr>
        <w:t xml:space="preserve"> also acts as an anaerobic bioreactor, which is programmed to synthesize particles responsible for the immune system, regulates metabolism, and changes the </w:t>
      </w:r>
      <w:proofErr w:type="spellStart"/>
      <w:r w:rsidRPr="00E87A45">
        <w:rPr>
          <w:color w:val="0E101A"/>
        </w:rPr>
        <w:t>epigenome</w:t>
      </w:r>
      <w:proofErr w:type="spellEnd"/>
      <w:r w:rsidRPr="00E87A45">
        <w:rPr>
          <w:color w:val="0E101A"/>
        </w:rPr>
        <w:t xml:space="preserve"> of mammals. Diet can alter the </w:t>
      </w:r>
      <w:proofErr w:type="spellStart"/>
      <w:r w:rsidRPr="00E87A45">
        <w:rPr>
          <w:color w:val="0E101A"/>
        </w:rPr>
        <w:t>microbiome</w:t>
      </w:r>
      <w:proofErr w:type="spellEnd"/>
      <w:r w:rsidRPr="00E87A45">
        <w:rPr>
          <w:color w:val="0E101A"/>
        </w:rPr>
        <w:t xml:space="preserve"> in the gut as it influences the relative abundance, </w:t>
      </w:r>
      <w:proofErr w:type="spellStart"/>
      <w:r w:rsidRPr="00E87A45">
        <w:rPr>
          <w:color w:val="0E101A"/>
        </w:rPr>
        <w:t>metagenomics</w:t>
      </w:r>
      <w:proofErr w:type="spellEnd"/>
      <w:r w:rsidRPr="00E87A45">
        <w:rPr>
          <w:color w:val="0E101A"/>
        </w:rPr>
        <w:t xml:space="preserve">, diverse roles of </w:t>
      </w:r>
      <w:proofErr w:type="spellStart"/>
      <w:r w:rsidRPr="00E87A45">
        <w:rPr>
          <w:color w:val="0E101A"/>
        </w:rPr>
        <w:t>microbiota</w:t>
      </w:r>
      <w:proofErr w:type="spellEnd"/>
      <w:r w:rsidRPr="00E87A45">
        <w:rPr>
          <w:color w:val="0E101A"/>
        </w:rPr>
        <w:t>, and species numbers.</w:t>
      </w:r>
    </w:p>
    <w:p w:rsidR="00E87A45" w:rsidRPr="00E87A45" w:rsidRDefault="00E87A45" w:rsidP="00E87A45">
      <w:pPr>
        <w:pStyle w:val="NormalWeb"/>
        <w:spacing w:before="0" w:beforeAutospacing="0" w:after="0" w:afterAutospacing="0" w:line="480" w:lineRule="auto"/>
        <w:ind w:firstLine="720"/>
        <w:rPr>
          <w:color w:val="0E101A"/>
        </w:rPr>
      </w:pPr>
    </w:p>
    <w:p w:rsidR="00B71190" w:rsidRPr="00E87A45" w:rsidRDefault="004C29D9" w:rsidP="00E87A45">
      <w:pPr>
        <w:pStyle w:val="NormalWeb"/>
        <w:spacing w:before="0" w:beforeAutospacing="0" w:after="0" w:afterAutospacing="0" w:line="480" w:lineRule="auto"/>
        <w:rPr>
          <w:color w:val="0E101A"/>
        </w:rPr>
      </w:pPr>
      <w:r w:rsidRPr="00E87A45">
        <w:rPr>
          <w:color w:val="0E101A"/>
        </w:rPr>
        <w:t xml:space="preserve">           The system of gut </w:t>
      </w:r>
      <w:proofErr w:type="spellStart"/>
      <w:r w:rsidRPr="00E87A45">
        <w:rPr>
          <w:color w:val="0E101A"/>
        </w:rPr>
        <w:t>microbiota</w:t>
      </w:r>
      <w:proofErr w:type="spellEnd"/>
      <w:r w:rsidRPr="00E87A45">
        <w:rPr>
          <w:color w:val="0E101A"/>
        </w:rPr>
        <w:t xml:space="preserve"> is complex and dominates the colon. According to (</w:t>
      </w:r>
      <w:proofErr w:type="spellStart"/>
      <w:r w:rsidRPr="00E87A45">
        <w:rPr>
          <w:color w:val="0E101A"/>
        </w:rPr>
        <w:t>Galland</w:t>
      </w:r>
      <w:proofErr w:type="spellEnd"/>
      <w:r w:rsidRPr="00E87A45">
        <w:rPr>
          <w:color w:val="0E101A"/>
        </w:rPr>
        <w:t xml:space="preserve">, 2014) the gut </w:t>
      </w:r>
      <w:proofErr w:type="spellStart"/>
      <w:r w:rsidRPr="00E87A45">
        <w:rPr>
          <w:color w:val="0E101A"/>
        </w:rPr>
        <w:t>microbiota</w:t>
      </w:r>
      <w:proofErr w:type="spellEnd"/>
      <w:r w:rsidRPr="00E87A45">
        <w:rPr>
          <w:color w:val="0E101A"/>
        </w:rPr>
        <w:t xml:space="preserve"> shows functional changes that affect the human system in disease and health. Diet explains 50% of the structural changes in mice, while in humans, it is 20%; this signals the critical dietary changes that aid in disease management. This means the ecological environment that controls the diet is extensive (</w:t>
      </w:r>
      <w:proofErr w:type="spellStart"/>
      <w:r w:rsidRPr="00E87A45">
        <w:rPr>
          <w:color w:val="0E101A"/>
        </w:rPr>
        <w:t>Galland</w:t>
      </w:r>
      <w:proofErr w:type="spellEnd"/>
      <w:r w:rsidRPr="00E87A45">
        <w:rPr>
          <w:color w:val="0E101A"/>
        </w:rPr>
        <w:t xml:space="preserve">, 2014). In a study cross, sectional populations were investigated, and the dietary patterns produce correspondence with microbial composition. Every person's </w:t>
      </w:r>
      <w:proofErr w:type="spellStart"/>
      <w:r w:rsidRPr="00E87A45">
        <w:rPr>
          <w:color w:val="0E101A"/>
        </w:rPr>
        <w:t>microbiota</w:t>
      </w:r>
      <w:proofErr w:type="spellEnd"/>
      <w:r w:rsidRPr="00E87A45">
        <w:rPr>
          <w:color w:val="0E101A"/>
        </w:rPr>
        <w:t xml:space="preserve"> profile can be stabilized by habitual intake and long-term nutritional habits. We do not know clearly if the dietary intervention patterns may alter the microbial community environment. The gut </w:t>
      </w:r>
      <w:proofErr w:type="spellStart"/>
      <w:r w:rsidRPr="00E87A45">
        <w:rPr>
          <w:color w:val="0E101A"/>
        </w:rPr>
        <w:t>microbiome</w:t>
      </w:r>
      <w:proofErr w:type="spellEnd"/>
      <w:r w:rsidRPr="00E87A45">
        <w:rPr>
          <w:color w:val="0E101A"/>
        </w:rPr>
        <w:t xml:space="preserve"> is crucial for maintaining human health and understanding the homeostasis of the microbial communities in the intestines. The shaping of the gut </w:t>
      </w:r>
      <w:proofErr w:type="spellStart"/>
      <w:r w:rsidRPr="00E87A45">
        <w:rPr>
          <w:color w:val="0E101A"/>
        </w:rPr>
        <w:t>microbiome</w:t>
      </w:r>
      <w:proofErr w:type="spellEnd"/>
      <w:r w:rsidRPr="00E87A45">
        <w:rPr>
          <w:color w:val="0E101A"/>
        </w:rPr>
        <w:t xml:space="preserve"> and its composition is affected by factors such as antibiotic usage, mode </w:t>
      </w:r>
      <w:r w:rsidRPr="00E87A45">
        <w:rPr>
          <w:color w:val="0E101A"/>
        </w:rPr>
        <w:lastRenderedPageBreak/>
        <w:t xml:space="preserve">of birth, feeding patterns of infants, dietary habits for a long-term basis, and sanitary living conditions. The gut </w:t>
      </w:r>
      <w:proofErr w:type="spellStart"/>
      <w:r w:rsidRPr="00E87A45">
        <w:rPr>
          <w:color w:val="0E101A"/>
        </w:rPr>
        <w:t>microbiome</w:t>
      </w:r>
      <w:proofErr w:type="spellEnd"/>
      <w:r w:rsidRPr="00E87A45">
        <w:rPr>
          <w:color w:val="0E101A"/>
        </w:rPr>
        <w:t xml:space="preserve"> is composed of various consortium single-celled organisms that reside in the human intestines. Some factors are deterrents to the colonization of the bacteria living in us; hence some hypotheses state that they lead to allergic reactions and food sensitivity, several auto-immune disorders, and type I diabetes.</w:t>
      </w:r>
    </w:p>
    <w:p w:rsidR="0084437D" w:rsidRPr="00E87A45" w:rsidRDefault="0084437D" w:rsidP="00D222E6">
      <w:pPr>
        <w:pStyle w:val="NormalWeb"/>
        <w:spacing w:before="0" w:beforeAutospacing="0" w:after="0" w:afterAutospacing="0" w:line="276" w:lineRule="auto"/>
        <w:rPr>
          <w:color w:val="0E101A"/>
        </w:rPr>
      </w:pPr>
    </w:p>
    <w:p w:rsidR="00B71190" w:rsidRPr="00E87A45" w:rsidRDefault="004C29D9" w:rsidP="00E87A45">
      <w:pPr>
        <w:pStyle w:val="NormalWeb"/>
        <w:spacing w:before="0" w:beforeAutospacing="0" w:after="0" w:afterAutospacing="0" w:line="480" w:lineRule="auto"/>
        <w:rPr>
          <w:color w:val="0E101A"/>
        </w:rPr>
      </w:pPr>
      <w:r w:rsidRPr="00E87A45">
        <w:rPr>
          <w:color w:val="0E101A"/>
        </w:rPr>
        <w:t xml:space="preserve">           The regulation of weight is also attributed to appetite control and dietary energy harvest supported by </w:t>
      </w:r>
      <w:proofErr w:type="spellStart"/>
      <w:r w:rsidRPr="00E87A45">
        <w:rPr>
          <w:color w:val="0E101A"/>
        </w:rPr>
        <w:t>microbiota</w:t>
      </w:r>
      <w:proofErr w:type="spellEnd"/>
      <w:r w:rsidRPr="00E87A45">
        <w:rPr>
          <w:color w:val="0E101A"/>
        </w:rPr>
        <w:t xml:space="preserve">. Prostate cancer, </w:t>
      </w:r>
      <w:proofErr w:type="spellStart"/>
      <w:r w:rsidRPr="00E87A45">
        <w:rPr>
          <w:color w:val="0E101A"/>
        </w:rPr>
        <w:t>cardiometabolic</w:t>
      </w:r>
      <w:proofErr w:type="spellEnd"/>
      <w:r w:rsidRPr="00E87A45">
        <w:rPr>
          <w:color w:val="0E101A"/>
        </w:rPr>
        <w:t xml:space="preserve"> disorders, gastric and colorectal cancers d</w:t>
      </w:r>
      <w:r w:rsidR="00572AA1" w:rsidRPr="00E87A45">
        <w:rPr>
          <w:color w:val="0E101A"/>
        </w:rPr>
        <w:t>evelop due to the implication on</w:t>
      </w:r>
      <w:r w:rsidRPr="00E87A45">
        <w:rPr>
          <w:color w:val="0E101A"/>
        </w:rPr>
        <w:t xml:space="preserve"> the gut </w:t>
      </w:r>
      <w:proofErr w:type="spellStart"/>
      <w:r w:rsidRPr="00E87A45">
        <w:rPr>
          <w:color w:val="0E101A"/>
        </w:rPr>
        <w:t>microbiome</w:t>
      </w:r>
      <w:proofErr w:type="spellEnd"/>
      <w:r w:rsidRPr="00E87A45">
        <w:rPr>
          <w:color w:val="0E101A"/>
        </w:rPr>
        <w:t>, hence developing diseases from intestinal inflammation (</w:t>
      </w:r>
      <w:proofErr w:type="spellStart"/>
      <w:r w:rsidRPr="00E87A45">
        <w:rPr>
          <w:color w:val="0E101A"/>
        </w:rPr>
        <w:t>Braune</w:t>
      </w:r>
      <w:proofErr w:type="spellEnd"/>
      <w:r w:rsidRPr="00E87A45">
        <w:rPr>
          <w:color w:val="0E101A"/>
        </w:rPr>
        <w:t xml:space="preserve"> &amp; </w:t>
      </w:r>
      <w:proofErr w:type="spellStart"/>
      <w:r w:rsidRPr="00E87A45">
        <w:rPr>
          <w:color w:val="0E101A"/>
        </w:rPr>
        <w:t>Blaut</w:t>
      </w:r>
      <w:proofErr w:type="spellEnd"/>
      <w:r w:rsidRPr="00E87A45">
        <w:rPr>
          <w:color w:val="0E101A"/>
        </w:rPr>
        <w:t xml:space="preserve">, 2016). These conditions occur through microbial metabolism of dietary contents that generate carcinogenic compounds, inciting systemic and local inflammatory cascades and secretion of </w:t>
      </w:r>
      <w:proofErr w:type="spellStart"/>
      <w:r w:rsidRPr="00E87A45">
        <w:rPr>
          <w:color w:val="0E101A"/>
        </w:rPr>
        <w:t>genotoxins</w:t>
      </w:r>
      <w:proofErr w:type="spellEnd"/>
      <w:r w:rsidRPr="00E87A45">
        <w:rPr>
          <w:color w:val="0E101A"/>
        </w:rPr>
        <w:t xml:space="preserve"> by bacteria. The result is organ and tissue damage through inflammatory processes. In this paper, diet and its influence on the gut </w:t>
      </w:r>
      <w:proofErr w:type="spellStart"/>
      <w:r w:rsidRPr="00E87A45">
        <w:rPr>
          <w:color w:val="0E101A"/>
        </w:rPr>
        <w:t>microbiota</w:t>
      </w:r>
      <w:proofErr w:type="spellEnd"/>
      <w:r w:rsidRPr="00E87A45">
        <w:rPr>
          <w:color w:val="0E101A"/>
        </w:rPr>
        <w:t xml:space="preserve"> is the topic of discussion; the introductory part has vital aspects of literature. The report aims to discuss various aspects of the subject and then provide a summary of the information.</w:t>
      </w:r>
    </w:p>
    <w:p w:rsidR="0048398F" w:rsidRPr="00E87A45" w:rsidRDefault="004C29D9" w:rsidP="00E87A45">
      <w:pPr>
        <w:pStyle w:val="NormalWeb"/>
        <w:tabs>
          <w:tab w:val="left" w:pos="5745"/>
        </w:tabs>
        <w:spacing w:before="0" w:beforeAutospacing="0" w:after="0" w:afterAutospacing="0" w:line="480" w:lineRule="auto"/>
        <w:rPr>
          <w:rStyle w:val="Strong"/>
          <w:color w:val="0E101A"/>
        </w:rPr>
      </w:pPr>
      <w:r w:rsidRPr="00E87A45">
        <w:rPr>
          <w:rStyle w:val="Strong"/>
          <w:color w:val="0E101A"/>
        </w:rPr>
        <w:tab/>
      </w:r>
    </w:p>
    <w:p w:rsidR="0048398F" w:rsidRPr="00E87A45" w:rsidRDefault="0048398F" w:rsidP="00D222E6">
      <w:pPr>
        <w:pStyle w:val="NormalWeb"/>
        <w:spacing w:before="0" w:beforeAutospacing="0" w:after="0" w:afterAutospacing="0" w:line="276" w:lineRule="auto"/>
        <w:rPr>
          <w:rStyle w:val="Strong"/>
          <w:color w:val="0E101A"/>
        </w:rPr>
      </w:pPr>
    </w:p>
    <w:p w:rsidR="00B71190" w:rsidRPr="00E87A45" w:rsidRDefault="004C29D9" w:rsidP="00D222E6">
      <w:pPr>
        <w:pStyle w:val="NormalWeb"/>
        <w:spacing w:before="0" w:beforeAutospacing="0" w:after="0" w:afterAutospacing="0" w:line="276" w:lineRule="auto"/>
        <w:rPr>
          <w:rStyle w:val="Strong"/>
          <w:color w:val="0E101A"/>
        </w:rPr>
      </w:pPr>
      <w:r w:rsidRPr="00E87A45">
        <w:rPr>
          <w:rStyle w:val="Strong"/>
          <w:color w:val="0E101A"/>
        </w:rPr>
        <w:t>Discussion</w:t>
      </w:r>
    </w:p>
    <w:p w:rsidR="00893CC1" w:rsidRPr="00E87A45" w:rsidRDefault="00893CC1" w:rsidP="00D222E6">
      <w:pPr>
        <w:pStyle w:val="NormalWeb"/>
        <w:spacing w:before="0" w:beforeAutospacing="0" w:after="0" w:afterAutospacing="0" w:line="276" w:lineRule="auto"/>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The nutrition a child is exposed to when still young affects their life and can manifest obesity in their lifetime. The breastfed children tend to be lean compared to those fed on formula diets in their first year of life. Usually, after </w:t>
      </w:r>
      <w:r w:rsidR="00ED5F60" w:rsidRPr="00E87A45">
        <w:rPr>
          <w:color w:val="0E101A"/>
        </w:rPr>
        <w:t>weaning,</w:t>
      </w:r>
      <w:r w:rsidRPr="00E87A45">
        <w:rPr>
          <w:color w:val="0E101A"/>
        </w:rPr>
        <w:t xml:space="preserve"> the BMI reduces. </w:t>
      </w:r>
      <w:r w:rsidR="00347DD7" w:rsidRPr="00E87A45">
        <w:rPr>
          <w:color w:val="0E101A"/>
        </w:rPr>
        <w:t>Formula-fed children have</w:t>
      </w:r>
      <w:r w:rsidRPr="00E87A45">
        <w:rPr>
          <w:color w:val="0E101A"/>
        </w:rPr>
        <w:t xml:space="preserve"> less of this effect than children who are breastfed. Through breastfeeding, a child grows lean and healthier. This effect is critical in the processes of metabolic programming and hence </w:t>
      </w:r>
      <w:r w:rsidRPr="00E87A45">
        <w:rPr>
          <w:color w:val="0E101A"/>
        </w:rPr>
        <w:lastRenderedPageBreak/>
        <w:t xml:space="preserve">affects epigenetic factors. Neonatal and maternal malnutrition affects the metabolism and extends to the </w:t>
      </w:r>
      <w:proofErr w:type="spellStart"/>
      <w:r w:rsidRPr="00E87A45">
        <w:rPr>
          <w:color w:val="0E101A"/>
        </w:rPr>
        <w:t>epigenome</w:t>
      </w:r>
      <w:proofErr w:type="spellEnd"/>
      <w:r w:rsidRPr="00E87A45">
        <w:rPr>
          <w:color w:val="0E101A"/>
        </w:rPr>
        <w:t xml:space="preserve"> affecting the postnatal child. Food patterns and specific diets have been determined to modulate the </w:t>
      </w:r>
      <w:proofErr w:type="spellStart"/>
      <w:r w:rsidRPr="00E87A45">
        <w:rPr>
          <w:color w:val="0E101A"/>
        </w:rPr>
        <w:t>microbiota</w:t>
      </w:r>
      <w:proofErr w:type="spellEnd"/>
      <w:r w:rsidRPr="00E87A45">
        <w:rPr>
          <w:color w:val="0E101A"/>
        </w:rPr>
        <w:t xml:space="preserve"> composition, and so does the metabolites. </w:t>
      </w:r>
      <w:proofErr w:type="spellStart"/>
      <w:r w:rsidRPr="00E87A45">
        <w:rPr>
          <w:color w:val="0E101A"/>
        </w:rPr>
        <w:t>Undernutrition</w:t>
      </w:r>
      <w:proofErr w:type="spellEnd"/>
      <w:r w:rsidRPr="00E87A45">
        <w:rPr>
          <w:color w:val="0E101A"/>
        </w:rPr>
        <w:t xml:space="preserve"> of a child is a challenge, and when it occurs in early life</w:t>
      </w:r>
      <w:proofErr w:type="gramStart"/>
      <w:r w:rsidRPr="00E87A45">
        <w:rPr>
          <w:color w:val="0E101A"/>
        </w:rPr>
        <w:t>,  adverse</w:t>
      </w:r>
      <w:proofErr w:type="gramEnd"/>
      <w:r w:rsidRPr="00E87A45">
        <w:rPr>
          <w:color w:val="0E101A"/>
        </w:rPr>
        <w:t xml:space="preserve"> consequences are likely to develop in such as immune dysfunction, neurocognitive deficits, and persistent stunting. Currently, approaches regarding treatments correct the long-term </w:t>
      </w:r>
      <w:proofErr w:type="spellStart"/>
      <w:r w:rsidRPr="00E87A45">
        <w:rPr>
          <w:color w:val="0E101A"/>
        </w:rPr>
        <w:t>sequelae</w:t>
      </w:r>
      <w:proofErr w:type="spellEnd"/>
      <w:r w:rsidRPr="00E87A45">
        <w:rPr>
          <w:color w:val="0E101A"/>
        </w:rPr>
        <w:t xml:space="preserve">, provide host biology determinants, and repair them. Today diversity is remarkable in humans, especially the colonic </w:t>
      </w:r>
      <w:proofErr w:type="spellStart"/>
      <w:r w:rsidRPr="00E87A45">
        <w:rPr>
          <w:color w:val="0E101A"/>
        </w:rPr>
        <w:t>microbiota</w:t>
      </w:r>
      <w:proofErr w:type="spellEnd"/>
      <w:r w:rsidRPr="00E87A45">
        <w:rPr>
          <w:color w:val="0E101A"/>
        </w:rPr>
        <w:t xml:space="preserve">. According to Rowland et al. (2018), </w:t>
      </w:r>
      <w:proofErr w:type="spellStart"/>
      <w:r w:rsidRPr="00E87A45">
        <w:rPr>
          <w:color w:val="0E101A"/>
        </w:rPr>
        <w:t>phylotypes</w:t>
      </w:r>
      <w:proofErr w:type="spellEnd"/>
      <w:r w:rsidRPr="00E87A45">
        <w:rPr>
          <w:color w:val="0E101A"/>
        </w:rPr>
        <w:t xml:space="preserve"> and bacterial species are apparent concerning 16S </w:t>
      </w:r>
      <w:proofErr w:type="spellStart"/>
      <w:r w:rsidRPr="00E87A45">
        <w:rPr>
          <w:color w:val="0E101A"/>
        </w:rPr>
        <w:t>rRNA</w:t>
      </w:r>
      <w:proofErr w:type="spellEnd"/>
      <w:r w:rsidRPr="00E87A45">
        <w:rPr>
          <w:color w:val="0E101A"/>
        </w:rPr>
        <w:t xml:space="preserve">-based analyses. A </w:t>
      </w:r>
      <w:proofErr w:type="spellStart"/>
      <w:r w:rsidRPr="00E87A45">
        <w:rPr>
          <w:color w:val="0E101A"/>
        </w:rPr>
        <w:t>faecal</w:t>
      </w:r>
      <w:proofErr w:type="spellEnd"/>
      <w:r w:rsidRPr="00E87A45">
        <w:rPr>
          <w:color w:val="0E101A"/>
        </w:rPr>
        <w:t xml:space="preserve"> sample apart from the human colonic </w:t>
      </w:r>
      <w:proofErr w:type="spellStart"/>
      <w:r w:rsidRPr="00E87A45">
        <w:rPr>
          <w:color w:val="0E101A"/>
        </w:rPr>
        <w:t>microbiota</w:t>
      </w:r>
      <w:proofErr w:type="spellEnd"/>
      <w:r w:rsidRPr="00E87A45">
        <w:rPr>
          <w:color w:val="0E101A"/>
        </w:rPr>
        <w:t xml:space="preserve"> estimation also determines the </w:t>
      </w:r>
      <w:proofErr w:type="spellStart"/>
      <w:r w:rsidRPr="00E87A45">
        <w:rPr>
          <w:color w:val="0E101A"/>
        </w:rPr>
        <w:t>microbiome</w:t>
      </w:r>
      <w:proofErr w:type="spellEnd"/>
      <w:r w:rsidRPr="00E87A45">
        <w:rPr>
          <w:color w:val="0E101A"/>
        </w:rPr>
        <w:t xml:space="preserve">. Today a few studies have investigated temporal changes and the colonic </w:t>
      </w:r>
      <w:proofErr w:type="spellStart"/>
      <w:r w:rsidRPr="00E87A45">
        <w:rPr>
          <w:color w:val="0E101A"/>
        </w:rPr>
        <w:t>microbiota</w:t>
      </w:r>
      <w:proofErr w:type="spellEnd"/>
      <w:r w:rsidRPr="00E87A45">
        <w:rPr>
          <w:color w:val="0E101A"/>
        </w:rPr>
        <w:t xml:space="preserve"> stability levels among people who take regular diets. Supplementation in diets with inulin and </w:t>
      </w:r>
      <w:proofErr w:type="spellStart"/>
      <w:r w:rsidRPr="00E87A45">
        <w:rPr>
          <w:color w:val="0E101A"/>
        </w:rPr>
        <w:t>fructo</w:t>
      </w:r>
      <w:proofErr w:type="spellEnd"/>
      <w:r w:rsidRPr="00E87A45">
        <w:rPr>
          <w:color w:val="0E101A"/>
        </w:rPr>
        <w:t xml:space="preserve">-oligosaccharides as probiotics promote particular bacteria such as </w:t>
      </w:r>
      <w:proofErr w:type="spellStart"/>
      <w:r w:rsidRPr="00E87A45">
        <w:rPr>
          <w:color w:val="0E101A"/>
        </w:rPr>
        <w:t>Bifidobacteria</w:t>
      </w:r>
      <w:proofErr w:type="spellEnd"/>
      <w:r w:rsidRPr="00E87A45">
        <w:rPr>
          <w:color w:val="0E101A"/>
        </w:rPr>
        <w:t>.</w:t>
      </w:r>
    </w:p>
    <w:p w:rsidR="0084437D" w:rsidRPr="00E87A45" w:rsidRDefault="0084437D" w:rsidP="00E87A45">
      <w:pPr>
        <w:pStyle w:val="NormalWeb"/>
        <w:spacing w:before="0" w:beforeAutospacing="0" w:after="0" w:afterAutospacing="0" w:line="276" w:lineRule="auto"/>
        <w:ind w:firstLine="720"/>
        <w:jc w:val="right"/>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In industrialized societies, mechanistic investigations and dietary interventions have been revealed to help, for example, high </w:t>
      </w:r>
      <w:proofErr w:type="spellStart"/>
      <w:r w:rsidRPr="00E87A45">
        <w:rPr>
          <w:color w:val="0E101A"/>
        </w:rPr>
        <w:t>fibre</w:t>
      </w:r>
      <w:proofErr w:type="spellEnd"/>
      <w:r w:rsidRPr="00E87A45">
        <w:rPr>
          <w:color w:val="0E101A"/>
        </w:rPr>
        <w:t xml:space="preserve"> and plant diets reduce most diseases. The microbial fermentation in the colon for plant residues is related to cancer-suppressing metabolites and health promotion. </w:t>
      </w:r>
      <w:proofErr w:type="spellStart"/>
      <w:r w:rsidRPr="00E87A45">
        <w:rPr>
          <w:color w:val="0E101A"/>
        </w:rPr>
        <w:t>Metabolisis</w:t>
      </w:r>
      <w:proofErr w:type="spellEnd"/>
      <w:r w:rsidRPr="00E87A45">
        <w:rPr>
          <w:color w:val="0E101A"/>
        </w:rPr>
        <w:t xml:space="preserve"> of </w:t>
      </w:r>
      <w:proofErr w:type="spellStart"/>
      <w:r w:rsidRPr="00E87A45">
        <w:rPr>
          <w:color w:val="0E101A"/>
        </w:rPr>
        <w:t>fibre</w:t>
      </w:r>
      <w:proofErr w:type="spellEnd"/>
      <w:r w:rsidRPr="00E87A45">
        <w:rPr>
          <w:color w:val="0E101A"/>
        </w:rPr>
        <w:t xml:space="preserve"> results in SCFs result in antineoplastic, </w:t>
      </w:r>
      <w:proofErr w:type="spellStart"/>
      <w:r w:rsidRPr="00E87A45">
        <w:rPr>
          <w:color w:val="0E101A"/>
        </w:rPr>
        <w:t>antiproliferative</w:t>
      </w:r>
      <w:proofErr w:type="spellEnd"/>
      <w:r w:rsidRPr="00E87A45">
        <w:rPr>
          <w:color w:val="0E101A"/>
        </w:rPr>
        <w:t xml:space="preserve">, and anti-inflammatory properties of cells. Some colonic microbes are specialized in breaking down plant cell walls to produce phytochemicals such as </w:t>
      </w:r>
      <w:proofErr w:type="spellStart"/>
      <w:r w:rsidRPr="00E87A45">
        <w:rPr>
          <w:color w:val="0E101A"/>
        </w:rPr>
        <w:t>phenolics</w:t>
      </w:r>
      <w:proofErr w:type="spellEnd"/>
      <w:r w:rsidRPr="00E87A45">
        <w:rPr>
          <w:color w:val="0E101A"/>
        </w:rPr>
        <w:t xml:space="preserve">, </w:t>
      </w:r>
      <w:proofErr w:type="spellStart"/>
      <w:r w:rsidRPr="00E87A45">
        <w:rPr>
          <w:color w:val="0E101A"/>
        </w:rPr>
        <w:t>flavins</w:t>
      </w:r>
      <w:proofErr w:type="spellEnd"/>
      <w:r w:rsidRPr="00E87A45">
        <w:rPr>
          <w:color w:val="0E101A"/>
        </w:rPr>
        <w:t xml:space="preserve">, </w:t>
      </w:r>
      <w:proofErr w:type="spellStart"/>
      <w:r w:rsidRPr="00E87A45">
        <w:rPr>
          <w:color w:val="0E101A"/>
        </w:rPr>
        <w:t>anthocyanins</w:t>
      </w:r>
      <w:proofErr w:type="spellEnd"/>
      <w:r w:rsidRPr="00E87A45">
        <w:rPr>
          <w:color w:val="0E101A"/>
        </w:rPr>
        <w:t xml:space="preserve">, and polyphenols with antioxidant, antineoplastic, and anti-inflammatory properties. According to </w:t>
      </w:r>
      <w:proofErr w:type="spellStart"/>
      <w:r w:rsidRPr="00E87A45">
        <w:rPr>
          <w:color w:val="0E101A"/>
        </w:rPr>
        <w:t>Mischke</w:t>
      </w:r>
      <w:proofErr w:type="spellEnd"/>
      <w:r w:rsidRPr="00E87A45">
        <w:rPr>
          <w:color w:val="0E101A"/>
        </w:rPr>
        <w:t xml:space="preserve"> &amp; </w:t>
      </w:r>
      <w:proofErr w:type="spellStart"/>
      <w:r w:rsidRPr="00E87A45">
        <w:rPr>
          <w:color w:val="0E101A"/>
        </w:rPr>
        <w:t>Plösch</w:t>
      </w:r>
      <w:proofErr w:type="spellEnd"/>
      <w:r w:rsidRPr="00E87A45">
        <w:rPr>
          <w:color w:val="0E101A"/>
        </w:rPr>
        <w:t xml:space="preserve">, (2013), food additives have significant effects on the </w:t>
      </w:r>
      <w:proofErr w:type="spellStart"/>
      <w:r w:rsidRPr="00E87A45">
        <w:rPr>
          <w:color w:val="0E101A"/>
        </w:rPr>
        <w:t>microbiome</w:t>
      </w:r>
      <w:proofErr w:type="spellEnd"/>
      <w:r w:rsidRPr="00E87A45">
        <w:rPr>
          <w:color w:val="0E101A"/>
        </w:rPr>
        <w:t xml:space="preserve"> that are not mentioned in the risk assessments. Studies conducted recently reveal that food additives can induce adverse effects on the host, mediated explicitly by </w:t>
      </w:r>
      <w:proofErr w:type="spellStart"/>
      <w:r w:rsidRPr="00E87A45">
        <w:rPr>
          <w:color w:val="0E101A"/>
        </w:rPr>
        <w:t>microbiota</w:t>
      </w:r>
      <w:proofErr w:type="spellEnd"/>
      <w:r w:rsidRPr="00E87A45">
        <w:rPr>
          <w:color w:val="0E101A"/>
        </w:rPr>
        <w:t xml:space="preserve">. Emulsifiers are used more </w:t>
      </w:r>
      <w:r w:rsidRPr="00E87A45">
        <w:rPr>
          <w:color w:val="0E101A"/>
        </w:rPr>
        <w:lastRenderedPageBreak/>
        <w:t xml:space="preserve">to produce food with sensory properties to fat. In a study by </w:t>
      </w:r>
      <w:proofErr w:type="spellStart"/>
      <w:r w:rsidRPr="00E87A45">
        <w:rPr>
          <w:color w:val="0E101A"/>
        </w:rPr>
        <w:t>Zoetendal</w:t>
      </w:r>
      <w:proofErr w:type="spellEnd"/>
      <w:r w:rsidRPr="00E87A45">
        <w:rPr>
          <w:color w:val="0E101A"/>
        </w:rPr>
        <w:t xml:space="preserve">, Vaughan &amp; De </w:t>
      </w:r>
      <w:proofErr w:type="spellStart"/>
      <w:r w:rsidRPr="00E87A45">
        <w:rPr>
          <w:color w:val="0E101A"/>
        </w:rPr>
        <w:t>Vos</w:t>
      </w:r>
      <w:proofErr w:type="spellEnd"/>
      <w:r w:rsidRPr="00E87A45">
        <w:rPr>
          <w:color w:val="0E101A"/>
        </w:rPr>
        <w:t xml:space="preserve"> (2006), rodents were fed by emulsifiers, and the gut composition was altered. Emulsifiers increase virulence hence and lead to low-grade inflammation that promotes carcinogenesis of the colon. Emulsifiers require precaution when taking. One of the emulsifiers, "lecithin" (animal and plant product), can treat inflammatory bowel disease as it improves mucosal re-establishment. Food additives need FDA approval. The </w:t>
      </w:r>
      <w:proofErr w:type="spellStart"/>
      <w:r w:rsidRPr="00E87A45">
        <w:rPr>
          <w:color w:val="0E101A"/>
        </w:rPr>
        <w:t>acellular</w:t>
      </w:r>
      <w:proofErr w:type="spellEnd"/>
      <w:r w:rsidRPr="00E87A45">
        <w:rPr>
          <w:color w:val="0E101A"/>
        </w:rPr>
        <w:t xml:space="preserve"> nutrients cause humans evolution'</w:t>
      </w:r>
      <w:proofErr w:type="gramStart"/>
      <w:r w:rsidRPr="00E87A45">
        <w:rPr>
          <w:color w:val="0E101A"/>
        </w:rPr>
        <w:t>,  especially</w:t>
      </w:r>
      <w:proofErr w:type="gramEnd"/>
      <w:r w:rsidRPr="00E87A45">
        <w:rPr>
          <w:color w:val="0E101A"/>
        </w:rPr>
        <w:t xml:space="preserve"> on diets such as eggs, honey, and milk. The western diet has energy due to </w:t>
      </w:r>
      <w:proofErr w:type="spellStart"/>
      <w:r w:rsidRPr="00E87A45">
        <w:rPr>
          <w:color w:val="0E101A"/>
        </w:rPr>
        <w:t>acellular</w:t>
      </w:r>
      <w:proofErr w:type="spellEnd"/>
      <w:r w:rsidRPr="00E87A45">
        <w:rPr>
          <w:color w:val="0E101A"/>
        </w:rPr>
        <w:t xml:space="preserve"> nutrients that provide human and microbial cells to be easily digestible, affecting intestinal bacterial growth and absorption. Some factors promote host and diet </w:t>
      </w:r>
      <w:proofErr w:type="spellStart"/>
      <w:r w:rsidRPr="00E87A45">
        <w:rPr>
          <w:color w:val="0E101A"/>
        </w:rPr>
        <w:t>microbiome</w:t>
      </w:r>
      <w:proofErr w:type="spellEnd"/>
      <w:r w:rsidRPr="00E87A45">
        <w:rPr>
          <w:color w:val="0E101A"/>
        </w:rPr>
        <w:t xml:space="preserve"> interactions hence cause changes like metabolic disturbances, </w:t>
      </w:r>
      <w:proofErr w:type="spellStart"/>
      <w:r w:rsidRPr="00E87A45">
        <w:rPr>
          <w:color w:val="0E101A"/>
        </w:rPr>
        <w:t>microbiota</w:t>
      </w:r>
      <w:proofErr w:type="spellEnd"/>
      <w:r w:rsidRPr="00E87A45">
        <w:rPr>
          <w:color w:val="0E101A"/>
        </w:rPr>
        <w:t xml:space="preserve"> encroachment, and </w:t>
      </w:r>
      <w:proofErr w:type="spellStart"/>
      <w:r w:rsidRPr="00E87A45">
        <w:rPr>
          <w:color w:val="0E101A"/>
        </w:rPr>
        <w:t>dysbiosis</w:t>
      </w:r>
      <w:proofErr w:type="spellEnd"/>
      <w:r w:rsidRPr="00E87A45">
        <w:rPr>
          <w:color w:val="0E101A"/>
        </w:rPr>
        <w:t>.</w:t>
      </w:r>
    </w:p>
    <w:p w:rsidR="0084437D" w:rsidRPr="00E87A45" w:rsidRDefault="0084437D" w:rsidP="00D222E6">
      <w:pPr>
        <w:pStyle w:val="NormalWeb"/>
        <w:spacing w:before="0" w:beforeAutospacing="0" w:after="0" w:afterAutospacing="0" w:line="276" w:lineRule="auto"/>
        <w:ind w:firstLine="720"/>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According to </w:t>
      </w:r>
      <w:proofErr w:type="spellStart"/>
      <w:r w:rsidRPr="00E87A45">
        <w:rPr>
          <w:color w:val="0E101A"/>
        </w:rPr>
        <w:t>Zinöcker</w:t>
      </w:r>
      <w:proofErr w:type="spellEnd"/>
      <w:r w:rsidRPr="00E87A45">
        <w:rPr>
          <w:color w:val="0E101A"/>
        </w:rPr>
        <w:t xml:space="preserve"> &amp; </w:t>
      </w:r>
      <w:proofErr w:type="spellStart"/>
      <w:proofErr w:type="gramStart"/>
      <w:r w:rsidRPr="00E87A45">
        <w:rPr>
          <w:color w:val="0E101A"/>
        </w:rPr>
        <w:t>Lindseth</w:t>
      </w:r>
      <w:proofErr w:type="spellEnd"/>
      <w:r w:rsidRPr="00E87A45">
        <w:rPr>
          <w:color w:val="0E101A"/>
        </w:rPr>
        <w:t>(</w:t>
      </w:r>
      <w:proofErr w:type="gramEnd"/>
      <w:r w:rsidRPr="00E87A45">
        <w:rPr>
          <w:color w:val="0E101A"/>
        </w:rPr>
        <w:t xml:space="preserve">2018), ultra-processed foods acts as a driver of diseases. Whole foods and ultra-processed substances can be compared, especially on different nutritional values and require attention. Processed foods are not healthy; for example the industry processed foods from constituents such as oils, sugar, proteins, and starch. Processed foods are synthesized in the laboratories and contain various additives hence hyper-palatable. Some components of the Western diet contribute to disease as they trigger inflammation. Western diets can promote endotoxin-producing bacteria based on the intestines for mice and rodents, resulting in metabolic </w:t>
      </w:r>
      <w:proofErr w:type="spellStart"/>
      <w:r w:rsidRPr="00E87A45">
        <w:rPr>
          <w:color w:val="0E101A"/>
        </w:rPr>
        <w:t>endotoxemia</w:t>
      </w:r>
      <w:proofErr w:type="spellEnd"/>
      <w:r w:rsidRPr="00E87A45">
        <w:rPr>
          <w:color w:val="0E101A"/>
        </w:rPr>
        <w:t xml:space="preserve">. Many studies share information on significant changes in the diet </w:t>
      </w:r>
      <w:proofErr w:type="spellStart"/>
      <w:r w:rsidRPr="00E87A45">
        <w:rPr>
          <w:color w:val="0E101A"/>
        </w:rPr>
        <w:t>microbiota</w:t>
      </w:r>
      <w:proofErr w:type="spellEnd"/>
      <w:r w:rsidRPr="00E87A45">
        <w:rPr>
          <w:color w:val="0E101A"/>
        </w:rPr>
        <w:t xml:space="preserve"> of mice, the negative changes such as </w:t>
      </w:r>
      <w:proofErr w:type="spellStart"/>
      <w:r w:rsidRPr="00E87A45">
        <w:rPr>
          <w:color w:val="0E101A"/>
        </w:rPr>
        <w:t>endotoxemia</w:t>
      </w:r>
      <w:proofErr w:type="spellEnd"/>
      <w:r w:rsidRPr="00E87A45">
        <w:rPr>
          <w:color w:val="0E101A"/>
        </w:rPr>
        <w:t xml:space="preserve">. Based on an animal study, intestinal </w:t>
      </w:r>
      <w:proofErr w:type="spellStart"/>
      <w:r w:rsidRPr="00E87A45">
        <w:rPr>
          <w:color w:val="0E101A"/>
        </w:rPr>
        <w:t>microbiota</w:t>
      </w:r>
      <w:proofErr w:type="spellEnd"/>
      <w:r w:rsidRPr="00E87A45">
        <w:rPr>
          <w:color w:val="0E101A"/>
        </w:rPr>
        <w:t xml:space="preserve"> and dietary changes started when fermentable </w:t>
      </w:r>
      <w:proofErr w:type="spellStart"/>
      <w:r w:rsidRPr="00E87A45">
        <w:rPr>
          <w:color w:val="0E101A"/>
        </w:rPr>
        <w:t>fibre</w:t>
      </w:r>
      <w:proofErr w:type="spellEnd"/>
      <w:r w:rsidRPr="00E87A45">
        <w:rPr>
          <w:color w:val="0E101A"/>
        </w:rPr>
        <w:t xml:space="preserve"> was not available. Corresponding studies have related ideas about the GIT </w:t>
      </w:r>
      <w:proofErr w:type="spellStart"/>
      <w:r w:rsidRPr="00E87A45">
        <w:rPr>
          <w:color w:val="0E101A"/>
        </w:rPr>
        <w:t>microbiota</w:t>
      </w:r>
      <w:proofErr w:type="spellEnd"/>
      <w:r w:rsidRPr="00E87A45">
        <w:rPr>
          <w:color w:val="0E101A"/>
        </w:rPr>
        <w:t xml:space="preserve"> effects on several conditions. </w:t>
      </w:r>
      <w:proofErr w:type="spellStart"/>
      <w:r w:rsidRPr="00E87A45">
        <w:rPr>
          <w:color w:val="0E101A"/>
        </w:rPr>
        <w:t>Microbiota</w:t>
      </w:r>
      <w:proofErr w:type="spellEnd"/>
      <w:r w:rsidRPr="00E87A45">
        <w:rPr>
          <w:color w:val="0E101A"/>
        </w:rPr>
        <w:t xml:space="preserve"> ameliorates cancers, food allergies, chronic inflammation, IBS, and constipation. The gut </w:t>
      </w:r>
      <w:proofErr w:type="spellStart"/>
      <w:r w:rsidRPr="00E87A45">
        <w:rPr>
          <w:color w:val="0E101A"/>
        </w:rPr>
        <w:t>microbiota</w:t>
      </w:r>
      <w:proofErr w:type="spellEnd"/>
      <w:r w:rsidRPr="00E87A45">
        <w:rPr>
          <w:color w:val="0E101A"/>
        </w:rPr>
        <w:t xml:space="preserve"> can interact with epithelium and lymphoid tissue, developing and regulating the </w:t>
      </w:r>
      <w:r w:rsidRPr="00E87A45">
        <w:rPr>
          <w:color w:val="0E101A"/>
        </w:rPr>
        <w:lastRenderedPageBreak/>
        <w:t xml:space="preserve">host's </w:t>
      </w:r>
      <w:proofErr w:type="spellStart"/>
      <w:r w:rsidRPr="00E87A45">
        <w:rPr>
          <w:color w:val="0E101A"/>
        </w:rPr>
        <w:t>defence</w:t>
      </w:r>
      <w:proofErr w:type="spellEnd"/>
      <w:r w:rsidRPr="00E87A45">
        <w:rPr>
          <w:color w:val="0E101A"/>
        </w:rPr>
        <w:t xml:space="preserve"> system. Gut </w:t>
      </w:r>
      <w:proofErr w:type="spellStart"/>
      <w:r w:rsidRPr="00E87A45">
        <w:rPr>
          <w:color w:val="0E101A"/>
        </w:rPr>
        <w:t>microbiota</w:t>
      </w:r>
      <w:proofErr w:type="spellEnd"/>
      <w:r w:rsidRPr="00E87A45">
        <w:rPr>
          <w:color w:val="0E101A"/>
        </w:rPr>
        <w:t xml:space="preserve"> regulates </w:t>
      </w:r>
      <w:proofErr w:type="spellStart"/>
      <w:r w:rsidRPr="00E87A45">
        <w:rPr>
          <w:color w:val="0E101A"/>
        </w:rPr>
        <w:t>paneth</w:t>
      </w:r>
      <w:proofErr w:type="spellEnd"/>
      <w:r w:rsidRPr="00E87A45">
        <w:rPr>
          <w:color w:val="0E101A"/>
        </w:rPr>
        <w:t xml:space="preserve"> cells' permeability of </w:t>
      </w:r>
      <w:proofErr w:type="spellStart"/>
      <w:r w:rsidRPr="00E87A45">
        <w:rPr>
          <w:color w:val="0E101A"/>
        </w:rPr>
        <w:t>paracellular</w:t>
      </w:r>
      <w:proofErr w:type="spellEnd"/>
      <w:r w:rsidRPr="00E87A45">
        <w:rPr>
          <w:color w:val="0E101A"/>
        </w:rPr>
        <w:t xml:space="preserve"> permeability in the small intestine, controlling </w:t>
      </w:r>
      <w:proofErr w:type="spellStart"/>
      <w:r w:rsidRPr="00E87A45">
        <w:rPr>
          <w:color w:val="0E101A"/>
        </w:rPr>
        <w:t>mucin</w:t>
      </w:r>
      <w:proofErr w:type="spellEnd"/>
      <w:r w:rsidRPr="00E87A45">
        <w:rPr>
          <w:color w:val="0E101A"/>
        </w:rPr>
        <w:t xml:space="preserve"> gene expression and antimicrobial peptides. When the </w:t>
      </w:r>
      <w:proofErr w:type="spellStart"/>
      <w:r w:rsidRPr="00E87A45">
        <w:rPr>
          <w:color w:val="0E101A"/>
        </w:rPr>
        <w:t>microbiota</w:t>
      </w:r>
      <w:proofErr w:type="spellEnd"/>
      <w:r w:rsidRPr="00E87A45">
        <w:rPr>
          <w:color w:val="0E101A"/>
        </w:rPr>
        <w:t xml:space="preserve"> is </w:t>
      </w:r>
      <w:proofErr w:type="spellStart"/>
      <w:r w:rsidRPr="00E87A45">
        <w:rPr>
          <w:color w:val="0E101A"/>
        </w:rPr>
        <w:t>healthy</w:t>
      </w:r>
      <w:proofErr w:type="gramStart"/>
      <w:r w:rsidRPr="00E87A45">
        <w:rPr>
          <w:color w:val="0E101A"/>
        </w:rPr>
        <w:t>,T</w:t>
      </w:r>
      <w:proofErr w:type="spellEnd"/>
      <w:proofErr w:type="gramEnd"/>
      <w:r w:rsidRPr="00E87A45">
        <w:rPr>
          <w:color w:val="0E101A"/>
        </w:rPr>
        <w:t xml:space="preserve"> and B cell regulation is enhanced, and immunoglobulin levels (serum) can be maintained.</w:t>
      </w:r>
    </w:p>
    <w:p w:rsidR="0084437D" w:rsidRPr="00E87A45" w:rsidRDefault="0084437D" w:rsidP="00D222E6">
      <w:pPr>
        <w:pStyle w:val="NormalWeb"/>
        <w:spacing w:before="0" w:beforeAutospacing="0" w:after="0" w:afterAutospacing="0" w:line="276" w:lineRule="auto"/>
        <w:ind w:firstLine="720"/>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According to </w:t>
      </w:r>
      <w:r w:rsidR="00F2757B" w:rsidRPr="00E87A45">
        <w:rPr>
          <w:rStyle w:val="Emphasis"/>
          <w:i w:val="0"/>
          <w:color w:val="0E101A"/>
        </w:rPr>
        <w:t>(</w:t>
      </w:r>
      <w:r w:rsidR="00F2757B" w:rsidRPr="00E87A45">
        <w:rPr>
          <w:color w:val="0E101A"/>
        </w:rPr>
        <w:t xml:space="preserve">O'Keefe, 2019) </w:t>
      </w:r>
      <w:r w:rsidRPr="00E87A45">
        <w:rPr>
          <w:color w:val="0E101A"/>
        </w:rPr>
        <w:t xml:space="preserve">The GI tract of a fetus is sterile, and colonization starts at birth. This is obtained from maternal </w:t>
      </w:r>
      <w:proofErr w:type="spellStart"/>
      <w:r w:rsidRPr="00E87A45">
        <w:rPr>
          <w:color w:val="0E101A"/>
        </w:rPr>
        <w:t>microbiota</w:t>
      </w:r>
      <w:proofErr w:type="spellEnd"/>
      <w:r w:rsidRPr="00E87A45">
        <w:rPr>
          <w:color w:val="0E101A"/>
        </w:rPr>
        <w:t xml:space="preserve">. This study is unique because even babies delivered by the Caesarian section pose typical </w:t>
      </w:r>
      <w:proofErr w:type="spellStart"/>
      <w:r w:rsidRPr="00E87A45">
        <w:rPr>
          <w:color w:val="0E101A"/>
        </w:rPr>
        <w:t>microbiota</w:t>
      </w:r>
      <w:proofErr w:type="spellEnd"/>
      <w:r w:rsidRPr="00E87A45">
        <w:rPr>
          <w:color w:val="0E101A"/>
        </w:rPr>
        <w:t xml:space="preserve"> compared to normal born babies. The </w:t>
      </w:r>
      <w:proofErr w:type="spellStart"/>
      <w:r w:rsidRPr="00E87A45">
        <w:rPr>
          <w:color w:val="0E101A"/>
        </w:rPr>
        <w:t>epigenome</w:t>
      </w:r>
      <w:proofErr w:type="spellEnd"/>
      <w:r w:rsidRPr="00E87A45">
        <w:rPr>
          <w:color w:val="0E101A"/>
        </w:rPr>
        <w:t xml:space="preserve"> is directed by nutrition; for instance, placental dysfunctions are associated with developing chronic conditions in adulthood. Breast milk is a crucial exposure to the postnatal environment. (UNICEF) United Nations Children's Emergency Fund and WHO recommends exclusive breastfeeding for children for the first six months of their postnatal life. Breast milk decreases common infections that result in deaths for the first two years from pneumonia and </w:t>
      </w:r>
      <w:proofErr w:type="spellStart"/>
      <w:r w:rsidRPr="00E87A45">
        <w:rPr>
          <w:color w:val="0E101A"/>
        </w:rPr>
        <w:t>diarrhoea</w:t>
      </w:r>
      <w:proofErr w:type="spellEnd"/>
      <w:r w:rsidRPr="00E87A45">
        <w:rPr>
          <w:color w:val="0E101A"/>
        </w:rPr>
        <w:t xml:space="preserve">. The structure of cell walls stimulates the innate immune system continually hence producing cytokines and activating immunity for the whole body. The gut </w:t>
      </w:r>
      <w:proofErr w:type="spellStart"/>
      <w:r w:rsidRPr="00E87A45">
        <w:rPr>
          <w:color w:val="0E101A"/>
        </w:rPr>
        <w:t>microbiome</w:t>
      </w:r>
      <w:proofErr w:type="spellEnd"/>
      <w:r w:rsidRPr="00E87A45">
        <w:rPr>
          <w:color w:val="0E101A"/>
        </w:rPr>
        <w:t xml:space="preserve"> typically interacts with (HPA) hypothalamic-pituitary-adrenal shapes the sleep axis and normal architecture. According to </w:t>
      </w:r>
      <w:proofErr w:type="spellStart"/>
      <w:r w:rsidRPr="00E87A45">
        <w:rPr>
          <w:color w:val="0E101A"/>
        </w:rPr>
        <w:t>McBurney</w:t>
      </w:r>
      <w:proofErr w:type="spellEnd"/>
      <w:r w:rsidRPr="00E87A45">
        <w:rPr>
          <w:color w:val="0E101A"/>
        </w:rPr>
        <w:t xml:space="preserve"> et al. (2019), because diet significantly affects the </w:t>
      </w:r>
      <w:proofErr w:type="spellStart"/>
      <w:r w:rsidRPr="00E87A45">
        <w:rPr>
          <w:color w:val="0E101A"/>
        </w:rPr>
        <w:t>microbiome's</w:t>
      </w:r>
      <w:proofErr w:type="spellEnd"/>
      <w:r w:rsidRPr="00E87A45">
        <w:rPr>
          <w:color w:val="0E101A"/>
        </w:rPr>
        <w:t xml:space="preserve"> function and composition, taking a keen interest in managing diet is crucial because the microbes are linked to diseases and health. Sequence analysis of microbial (16S ribosomal DNA) </w:t>
      </w:r>
      <w:proofErr w:type="gramStart"/>
      <w:r w:rsidRPr="00E87A45">
        <w:rPr>
          <w:color w:val="0E101A"/>
        </w:rPr>
        <w:t>ribosomal RNA-encoding genes shows</w:t>
      </w:r>
      <w:proofErr w:type="gramEnd"/>
      <w:r w:rsidRPr="00E87A45">
        <w:rPr>
          <w:color w:val="0E101A"/>
        </w:rPr>
        <w:t xml:space="preserve"> that the bacterial species are five in an adult: </w:t>
      </w:r>
      <w:proofErr w:type="spellStart"/>
      <w:r w:rsidRPr="00E87A45">
        <w:rPr>
          <w:color w:val="0E101A"/>
        </w:rPr>
        <w:t>Bacteroidetes</w:t>
      </w:r>
      <w:proofErr w:type="spellEnd"/>
      <w:r w:rsidRPr="00E87A45">
        <w:rPr>
          <w:color w:val="0E101A"/>
        </w:rPr>
        <w:t xml:space="preserve"> and </w:t>
      </w:r>
      <w:proofErr w:type="spellStart"/>
      <w:r w:rsidRPr="00E87A45">
        <w:rPr>
          <w:color w:val="0E101A"/>
        </w:rPr>
        <w:t>Firmicutes</w:t>
      </w:r>
      <w:proofErr w:type="spellEnd"/>
      <w:r w:rsidRPr="00E87A45">
        <w:rPr>
          <w:color w:val="0E101A"/>
        </w:rPr>
        <w:t xml:space="preserve"> that predominate, </w:t>
      </w:r>
      <w:proofErr w:type="spellStart"/>
      <w:r w:rsidRPr="00E87A45">
        <w:rPr>
          <w:color w:val="0E101A"/>
        </w:rPr>
        <w:t>Proteobacteria</w:t>
      </w:r>
      <w:proofErr w:type="spellEnd"/>
      <w:r w:rsidRPr="00E87A45">
        <w:rPr>
          <w:color w:val="0E101A"/>
        </w:rPr>
        <w:t xml:space="preserve">, </w:t>
      </w:r>
      <w:proofErr w:type="spellStart"/>
      <w:r w:rsidRPr="00E87A45">
        <w:rPr>
          <w:color w:val="0E101A"/>
        </w:rPr>
        <w:t>Verrucomicrobia</w:t>
      </w:r>
      <w:proofErr w:type="spellEnd"/>
      <w:r w:rsidRPr="00E87A45">
        <w:rPr>
          <w:color w:val="0E101A"/>
        </w:rPr>
        <w:t xml:space="preserve">, and </w:t>
      </w:r>
      <w:proofErr w:type="spellStart"/>
      <w:r w:rsidRPr="00E87A45">
        <w:rPr>
          <w:color w:val="0E101A"/>
        </w:rPr>
        <w:t>Actinobacteria</w:t>
      </w:r>
      <w:proofErr w:type="spellEnd"/>
      <w:r w:rsidRPr="00E87A45">
        <w:rPr>
          <w:color w:val="0E101A"/>
        </w:rPr>
        <w:t xml:space="preserve"> are only 2% of the micro-organisms. A diet that has fat and more animal protein has </w:t>
      </w:r>
      <w:proofErr w:type="spellStart"/>
      <w:r w:rsidRPr="00E87A45">
        <w:rPr>
          <w:color w:val="0E101A"/>
        </w:rPr>
        <w:t>Bacteroides</w:t>
      </w:r>
      <w:proofErr w:type="spellEnd"/>
      <w:r w:rsidRPr="00E87A45">
        <w:rPr>
          <w:color w:val="0E101A"/>
        </w:rPr>
        <w:t xml:space="preserve"> in abundance. The </w:t>
      </w:r>
      <w:proofErr w:type="gramStart"/>
      <w:r w:rsidRPr="00E87A45">
        <w:rPr>
          <w:color w:val="0E101A"/>
        </w:rPr>
        <w:t>bacteria produces</w:t>
      </w:r>
      <w:proofErr w:type="gramEnd"/>
      <w:r w:rsidRPr="00E87A45">
        <w:rPr>
          <w:color w:val="0E101A"/>
        </w:rPr>
        <w:t xml:space="preserve"> and responds to neurotransmitters and hormones. (GABA) gamma-amino butyrate and acetylcholine are produced by Lactobacillus. </w:t>
      </w:r>
      <w:r w:rsidRPr="00E87A45">
        <w:rPr>
          <w:color w:val="0E101A"/>
        </w:rPr>
        <w:lastRenderedPageBreak/>
        <w:t xml:space="preserve">Serotonin, dopamine, and norepinephrine are produced by Escherichia. Serotonin is also produced by enterococcus and streptococcus. Metabolites produced by bacteria can cause </w:t>
      </w:r>
      <w:proofErr w:type="spellStart"/>
      <w:r w:rsidRPr="00E87A45">
        <w:rPr>
          <w:color w:val="0E101A"/>
        </w:rPr>
        <w:t>encephalotoxicity</w:t>
      </w:r>
      <w:proofErr w:type="spellEnd"/>
      <w:r w:rsidRPr="00E87A45">
        <w:rPr>
          <w:color w:val="0E101A"/>
        </w:rPr>
        <w:t>, for instance, ammonia and D-lactic acid, whose roles conflict with (SCFA) short-chain fatty acids reduce inflammation. However, it increases the chances of developing autism disorders. Adaptive immunity responds to particular microbes and secrets CNS dysfunction following auto-immune reactions.</w:t>
      </w:r>
    </w:p>
    <w:p w:rsidR="0084437D" w:rsidRPr="00E87A45" w:rsidRDefault="0084437D" w:rsidP="00D222E6">
      <w:pPr>
        <w:pStyle w:val="NormalWeb"/>
        <w:spacing w:before="0" w:beforeAutospacing="0" w:after="0" w:afterAutospacing="0" w:line="276" w:lineRule="auto"/>
        <w:ind w:firstLine="720"/>
        <w:rPr>
          <w:color w:val="0E101A"/>
        </w:rPr>
      </w:pPr>
    </w:p>
    <w:p w:rsidR="007A750D"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Genomic diversity is also a </w:t>
      </w:r>
      <w:proofErr w:type="gramStart"/>
      <w:r w:rsidRPr="00E87A45">
        <w:rPr>
          <w:color w:val="0E101A"/>
        </w:rPr>
        <w:t>concern,</w:t>
      </w:r>
      <w:proofErr w:type="gramEnd"/>
      <w:r w:rsidRPr="00E87A45">
        <w:rPr>
          <w:color w:val="0E101A"/>
        </w:rPr>
        <w:t xml:space="preserve"> and 16 </w:t>
      </w:r>
      <w:proofErr w:type="spellStart"/>
      <w:r w:rsidRPr="00E87A45">
        <w:rPr>
          <w:color w:val="0E101A"/>
        </w:rPr>
        <w:t>rRNA</w:t>
      </w:r>
      <w:proofErr w:type="spellEnd"/>
      <w:r w:rsidRPr="00E87A45">
        <w:rPr>
          <w:color w:val="0E101A"/>
        </w:rPr>
        <w:t xml:space="preserve"> as a gene model enhances the identification and detection of microbes. Over the last decade, the measures of analyzing the communities of microbes have increased, for example, bioinformatics and DNA technology of sequencing. As in the introduction, the germ-free mice shown that the community of microbes is vital in the role of GIT and status of health. The microbial community also helps in nutrient processing and produces pathogens as well. The microbial community gives rise to many components like butyrate and vitamins that are </w:t>
      </w:r>
      <w:proofErr w:type="gramStart"/>
      <w:r w:rsidRPr="00E87A45">
        <w:rPr>
          <w:color w:val="0E101A"/>
        </w:rPr>
        <w:t>key</w:t>
      </w:r>
      <w:proofErr w:type="gramEnd"/>
      <w:r w:rsidRPr="00E87A45">
        <w:rPr>
          <w:color w:val="0E101A"/>
        </w:rPr>
        <w:t xml:space="preserve"> to the host. According to Graf et al. (2015), the food needs to be assessed well to validate methods, and one difference is omnivorous and vegetarian diets. Some studies have investigated the gut differences of the two eaters, especially the </w:t>
      </w:r>
      <w:proofErr w:type="spellStart"/>
      <w:r w:rsidRPr="00E87A45">
        <w:rPr>
          <w:color w:val="0E101A"/>
        </w:rPr>
        <w:t>faecal</w:t>
      </w:r>
      <w:proofErr w:type="spellEnd"/>
      <w:r w:rsidRPr="00E87A45">
        <w:rPr>
          <w:color w:val="0E101A"/>
        </w:rPr>
        <w:t xml:space="preserve"> composition of </w:t>
      </w:r>
      <w:proofErr w:type="spellStart"/>
      <w:r w:rsidRPr="00E87A45">
        <w:rPr>
          <w:color w:val="0E101A"/>
        </w:rPr>
        <w:t>microbiota</w:t>
      </w:r>
      <w:proofErr w:type="spellEnd"/>
      <w:r w:rsidRPr="00E87A45">
        <w:rPr>
          <w:color w:val="0E101A"/>
        </w:rPr>
        <w:t xml:space="preserve"> and omnivores were revealed to have more Clostridium clusters, a butyrate secreting bacteria. Moreover, the omnivore group was revealed to have elevated </w:t>
      </w:r>
      <w:proofErr w:type="spellStart"/>
      <w:r w:rsidRPr="00E87A45">
        <w:rPr>
          <w:color w:val="0E101A"/>
        </w:rPr>
        <w:t>butyryl</w:t>
      </w:r>
      <w:proofErr w:type="spellEnd"/>
      <w:r w:rsidRPr="00E87A45">
        <w:rPr>
          <w:color w:val="0E101A"/>
        </w:rPr>
        <w:t xml:space="preserve">-CoA CoA </w:t>
      </w:r>
      <w:proofErr w:type="spellStart"/>
      <w:r w:rsidRPr="00E87A45">
        <w:rPr>
          <w:color w:val="0E101A"/>
        </w:rPr>
        <w:t>transferase</w:t>
      </w:r>
      <w:proofErr w:type="spellEnd"/>
      <w:r w:rsidRPr="00E87A45">
        <w:rPr>
          <w:color w:val="0E101A"/>
        </w:rPr>
        <w:t xml:space="preserve">. </w:t>
      </w:r>
    </w:p>
    <w:p w:rsidR="0084437D" w:rsidRPr="00E87A45" w:rsidRDefault="004C29D9" w:rsidP="00E87A45">
      <w:pPr>
        <w:pStyle w:val="NormalWeb"/>
        <w:tabs>
          <w:tab w:val="left" w:pos="6300"/>
        </w:tabs>
        <w:spacing w:before="0" w:beforeAutospacing="0" w:after="0" w:afterAutospacing="0" w:line="276" w:lineRule="auto"/>
        <w:ind w:firstLine="720"/>
        <w:rPr>
          <w:color w:val="0E101A"/>
        </w:rPr>
      </w:pPr>
      <w:r>
        <w:rPr>
          <w:color w:val="0E101A"/>
        </w:rPr>
        <w:tab/>
      </w: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Omnivores can therefore produce more butyrate and get the related health benefits. Dietary </w:t>
      </w:r>
      <w:proofErr w:type="spellStart"/>
      <w:r w:rsidRPr="00E87A45">
        <w:rPr>
          <w:color w:val="0E101A"/>
        </w:rPr>
        <w:t>fibre</w:t>
      </w:r>
      <w:proofErr w:type="spellEnd"/>
      <w:r w:rsidRPr="00E87A45">
        <w:rPr>
          <w:color w:val="0E101A"/>
        </w:rPr>
        <w:t xml:space="preserve"> is crucial because the polymers of carbohydrates are </w:t>
      </w:r>
      <w:r w:rsidR="00EB590D" w:rsidRPr="00E87A45">
        <w:rPr>
          <w:color w:val="0E101A"/>
        </w:rPr>
        <w:t>less neither digestible</w:t>
      </w:r>
      <w:r w:rsidRPr="00E87A45">
        <w:rPr>
          <w:color w:val="0E101A"/>
        </w:rPr>
        <w:t xml:space="preserve"> nor absorbable in the small intestines. In microbial fermentation, gas has to be produced, especially in the anaerobic systems of the alimentary canal. Hydrogen helps in fermentation by being an </w:t>
      </w:r>
      <w:r w:rsidRPr="00E87A45">
        <w:rPr>
          <w:color w:val="0E101A"/>
        </w:rPr>
        <w:lastRenderedPageBreak/>
        <w:t xml:space="preserve">intermediate. Methane and H2S are also produced, and the expulsion is through flatus. Consuming high trans-fat and highly saturated fats is linked to developing cardiovascular diseases. The carbohydrates are capable of enhancing modification of the gut </w:t>
      </w:r>
      <w:proofErr w:type="spellStart"/>
      <w:r w:rsidRPr="00E87A45">
        <w:rPr>
          <w:color w:val="0E101A"/>
        </w:rPr>
        <w:t>microbiome</w:t>
      </w:r>
      <w:proofErr w:type="spellEnd"/>
      <w:r w:rsidRPr="00E87A45">
        <w:rPr>
          <w:color w:val="0E101A"/>
        </w:rPr>
        <w:t xml:space="preserve">. The carbohydrates are non-d9gestible and digestible depending on the category. Enzymes can degrade the digestible ones in the small intestines, for instance, sugars and starches like sucrose, lacrosse, and fructose. The degraded glucose is released into the blood, and insulin takes action. Humans taking sucrose fructose and high glucose have more </w:t>
      </w:r>
      <w:proofErr w:type="spellStart"/>
      <w:r w:rsidRPr="00E87A45">
        <w:rPr>
          <w:rStyle w:val="Emphasis"/>
          <w:color w:val="0E101A"/>
        </w:rPr>
        <w:t>Bifidobacteria</w:t>
      </w:r>
      <w:proofErr w:type="spellEnd"/>
      <w:r w:rsidRPr="00E87A45">
        <w:rPr>
          <w:color w:val="0E101A"/>
        </w:rPr>
        <w:t> and less</w:t>
      </w:r>
      <w:r w:rsidRPr="00E87A45">
        <w:rPr>
          <w:rStyle w:val="Emphasis"/>
          <w:color w:val="0E101A"/>
        </w:rPr>
        <w:t> </w:t>
      </w:r>
      <w:proofErr w:type="spellStart"/>
      <w:r w:rsidRPr="00E87A45">
        <w:rPr>
          <w:rStyle w:val="Emphasis"/>
          <w:color w:val="0E101A"/>
        </w:rPr>
        <w:t>Bacteroides</w:t>
      </w:r>
      <w:proofErr w:type="spellEnd"/>
      <w:r w:rsidRPr="00E87A45">
        <w:rPr>
          <w:color w:val="0E101A"/>
        </w:rPr>
        <w:t xml:space="preserve">. The polyphenols such as flavones, </w:t>
      </w:r>
      <w:proofErr w:type="spellStart"/>
      <w:r w:rsidRPr="00E87A45">
        <w:rPr>
          <w:color w:val="0E101A"/>
        </w:rPr>
        <w:t>catechins</w:t>
      </w:r>
      <w:proofErr w:type="spellEnd"/>
      <w:r w:rsidRPr="00E87A45">
        <w:rPr>
          <w:color w:val="0E101A"/>
        </w:rPr>
        <w:t xml:space="preserve">, </w:t>
      </w:r>
      <w:proofErr w:type="spellStart"/>
      <w:r w:rsidRPr="00E87A45">
        <w:rPr>
          <w:color w:val="0E101A"/>
        </w:rPr>
        <w:t>flavonols</w:t>
      </w:r>
      <w:proofErr w:type="spellEnd"/>
      <w:r w:rsidRPr="00E87A45">
        <w:rPr>
          <w:color w:val="0E101A"/>
        </w:rPr>
        <w:t xml:space="preserve">, </w:t>
      </w:r>
      <w:proofErr w:type="spellStart"/>
      <w:r w:rsidRPr="00E87A45">
        <w:rPr>
          <w:color w:val="0E101A"/>
        </w:rPr>
        <w:t>proanthocyanidins</w:t>
      </w:r>
      <w:proofErr w:type="spellEnd"/>
      <w:r w:rsidRPr="00E87A45">
        <w:rPr>
          <w:color w:val="0E101A"/>
        </w:rPr>
        <w:t xml:space="preserve">, phenolic acids, and </w:t>
      </w:r>
      <w:proofErr w:type="spellStart"/>
      <w:r w:rsidRPr="00E87A45">
        <w:rPr>
          <w:color w:val="0E101A"/>
        </w:rPr>
        <w:t>anthocyanins</w:t>
      </w:r>
      <w:proofErr w:type="spellEnd"/>
      <w:r w:rsidRPr="00E87A45">
        <w:rPr>
          <w:color w:val="0E101A"/>
        </w:rPr>
        <w:t xml:space="preserve"> are antioxidants. The foods rich in polyphenols are seeds, tea, vegetables, wine, cocoa products, and fruits. </w:t>
      </w:r>
      <w:r w:rsidRPr="00E87A45">
        <w:rPr>
          <w:rStyle w:val="Emphasis"/>
          <w:color w:val="0E101A"/>
        </w:rPr>
        <w:t xml:space="preserve">Lactobacillus and </w:t>
      </w:r>
      <w:proofErr w:type="spellStart"/>
      <w:r w:rsidRPr="00E87A45">
        <w:rPr>
          <w:rStyle w:val="Emphasis"/>
          <w:color w:val="0E101A"/>
        </w:rPr>
        <w:t>Bifidobacterium</w:t>
      </w:r>
      <w:proofErr w:type="spellEnd"/>
      <w:r w:rsidRPr="00E87A45">
        <w:rPr>
          <w:rStyle w:val="Emphasis"/>
          <w:color w:val="0E101A"/>
        </w:rPr>
        <w:t xml:space="preserve"> </w:t>
      </w:r>
      <w:r w:rsidRPr="00E87A45">
        <w:rPr>
          <w:rStyle w:val="Emphasis"/>
          <w:i w:val="0"/>
          <w:color w:val="0E101A"/>
        </w:rPr>
        <w:t>are involved when analyzing these foods.</w:t>
      </w:r>
      <w:r w:rsidRPr="00E87A45">
        <w:rPr>
          <w:rStyle w:val="Emphasis"/>
          <w:color w:val="0E101A"/>
        </w:rPr>
        <w:t xml:space="preserve"> </w:t>
      </w:r>
      <w:proofErr w:type="spellStart"/>
      <w:r w:rsidRPr="00E87A45">
        <w:rPr>
          <w:rStyle w:val="Emphasis"/>
          <w:color w:val="0E101A"/>
        </w:rPr>
        <w:t>Bifidobacterium</w:t>
      </w:r>
      <w:proofErr w:type="spellEnd"/>
      <w:r w:rsidRPr="00E87A45">
        <w:rPr>
          <w:rStyle w:val="Emphasis"/>
          <w:color w:val="0E101A"/>
        </w:rPr>
        <w:t xml:space="preserve"> </w:t>
      </w:r>
      <w:r w:rsidRPr="00E87A45">
        <w:rPr>
          <w:rStyle w:val="Emphasis"/>
          <w:i w:val="0"/>
          <w:color w:val="0E101A"/>
        </w:rPr>
        <w:t>is a probiotic that enhances cancer prevention, managing IBD, and immune modulation. Cocoa-derived polyphenols are linked to HDL increase, reducing concentrations of C-reactive protein and plasma triacylglycerol</w:t>
      </w:r>
      <w:r w:rsidR="00F2757B" w:rsidRPr="00E87A45">
        <w:rPr>
          <w:rStyle w:val="Emphasis"/>
          <w:i w:val="0"/>
          <w:color w:val="0E101A"/>
        </w:rPr>
        <w:t xml:space="preserve"> (</w:t>
      </w:r>
      <w:r w:rsidRPr="00E87A45">
        <w:rPr>
          <w:color w:val="0E101A"/>
        </w:rPr>
        <w:t>O'Keefe, 2019). </w:t>
      </w:r>
      <w:r w:rsidRPr="00E87A45">
        <w:rPr>
          <w:rStyle w:val="Emphasis"/>
          <w:color w:val="0E101A"/>
        </w:rPr>
        <w:t> </w:t>
      </w:r>
      <w:r w:rsidRPr="00E87A45">
        <w:rPr>
          <w:rStyle w:val="Emphasis"/>
          <w:i w:val="0"/>
          <w:color w:val="0E101A"/>
        </w:rPr>
        <w:t>Consuming food with polyphenols shows increases sensitivity to</w:t>
      </w:r>
      <w:r w:rsidRPr="00E87A45">
        <w:rPr>
          <w:rStyle w:val="Emphasis"/>
          <w:color w:val="0E101A"/>
        </w:rPr>
        <w:t xml:space="preserve"> Salmonella </w:t>
      </w:r>
      <w:proofErr w:type="spellStart"/>
      <w:r w:rsidRPr="00E87A45">
        <w:rPr>
          <w:rStyle w:val="Emphasis"/>
          <w:color w:val="0E101A"/>
        </w:rPr>
        <w:t>typhimurium</w:t>
      </w:r>
      <w:proofErr w:type="spellEnd"/>
      <w:r w:rsidRPr="00E87A45">
        <w:rPr>
          <w:rStyle w:val="Emphasis"/>
          <w:color w:val="0E101A"/>
        </w:rPr>
        <w:t xml:space="preserve"> and Staphylococcus </w:t>
      </w:r>
      <w:proofErr w:type="spellStart"/>
      <w:r w:rsidRPr="00E87A45">
        <w:rPr>
          <w:rStyle w:val="Emphasis"/>
          <w:color w:val="0E101A"/>
        </w:rPr>
        <w:t>aureus</w:t>
      </w:r>
      <w:proofErr w:type="spellEnd"/>
      <w:r w:rsidRPr="00E87A45">
        <w:rPr>
          <w:color w:val="0E101A"/>
        </w:rPr>
        <w:t>.</w:t>
      </w:r>
    </w:p>
    <w:p w:rsidR="0084437D" w:rsidRPr="00E87A45" w:rsidRDefault="004C29D9" w:rsidP="00E87A45">
      <w:pPr>
        <w:pStyle w:val="NormalWeb"/>
        <w:tabs>
          <w:tab w:val="left" w:pos="7830"/>
        </w:tabs>
        <w:spacing w:before="0" w:beforeAutospacing="0" w:after="0" w:afterAutospacing="0" w:line="276" w:lineRule="auto"/>
        <w:ind w:firstLine="720"/>
        <w:rPr>
          <w:color w:val="0E101A"/>
        </w:rPr>
      </w:pPr>
      <w:r w:rsidRPr="00E87A45">
        <w:rPr>
          <w:color w:val="0E101A"/>
        </w:rPr>
        <w:tab/>
      </w:r>
    </w:p>
    <w:p w:rsidR="00B71190" w:rsidRPr="00E87A45" w:rsidRDefault="004C29D9" w:rsidP="00EB590D">
      <w:pPr>
        <w:pStyle w:val="NormalWeb"/>
        <w:spacing w:before="0" w:beforeAutospacing="0" w:after="0" w:afterAutospacing="0" w:line="480" w:lineRule="auto"/>
        <w:rPr>
          <w:rStyle w:val="Emphasis"/>
          <w:i w:val="0"/>
          <w:color w:val="0E101A"/>
        </w:rPr>
      </w:pPr>
      <w:r w:rsidRPr="00E87A45">
        <w:rPr>
          <w:color w:val="0E101A"/>
        </w:rPr>
        <w:t xml:space="preserve">           The advancing technology enhances the capability of quantifying and identifying bacteria of the gut hence aid in understanding the microbial composition of the host and its effects on the diet. Some studies have examined specific dietary intake and reactions of certain bacteria. Probiotics, polyphenols, carbohydrates, fats, and proteins induce </w:t>
      </w:r>
      <w:proofErr w:type="spellStart"/>
      <w:r w:rsidRPr="00E87A45">
        <w:rPr>
          <w:color w:val="0E101A"/>
        </w:rPr>
        <w:t>microbiome</w:t>
      </w:r>
      <w:proofErr w:type="spellEnd"/>
      <w:r w:rsidRPr="00E87A45">
        <w:rPr>
          <w:color w:val="0E101A"/>
        </w:rPr>
        <w:t xml:space="preserve"> shifts as well as the secondary impact on metabolic markers and the host immune system. The animal proteins are linked to microbial diversity, hence increases the availability of organisms tolerant to bile like</w:t>
      </w:r>
      <w:r w:rsidRPr="00E87A45">
        <w:rPr>
          <w:rStyle w:val="Emphasis"/>
          <w:color w:val="0E101A"/>
        </w:rPr>
        <w:t> </w:t>
      </w:r>
      <w:proofErr w:type="spellStart"/>
      <w:r w:rsidRPr="00E87A45">
        <w:rPr>
          <w:rStyle w:val="Emphasis"/>
          <w:color w:val="0E101A"/>
        </w:rPr>
        <w:t>Alistipes</w:t>
      </w:r>
      <w:proofErr w:type="spellEnd"/>
      <w:r w:rsidRPr="00E87A45">
        <w:rPr>
          <w:rStyle w:val="Emphasis"/>
          <w:color w:val="0E101A"/>
        </w:rPr>
        <w:t xml:space="preserve">, </w:t>
      </w:r>
      <w:proofErr w:type="spellStart"/>
      <w:r w:rsidRPr="00E87A45">
        <w:rPr>
          <w:rStyle w:val="Emphasis"/>
          <w:color w:val="0E101A"/>
        </w:rPr>
        <w:t>Bilophila</w:t>
      </w:r>
      <w:proofErr w:type="spellEnd"/>
      <w:r w:rsidRPr="00E87A45">
        <w:rPr>
          <w:color w:val="0E101A"/>
        </w:rPr>
        <w:t>, and </w:t>
      </w:r>
      <w:proofErr w:type="spellStart"/>
      <w:r w:rsidRPr="00E87A45">
        <w:rPr>
          <w:rStyle w:val="Emphasis"/>
          <w:color w:val="0E101A"/>
        </w:rPr>
        <w:t>Bacteroides</w:t>
      </w:r>
      <w:proofErr w:type="spellEnd"/>
      <w:r w:rsidRPr="00E87A45">
        <w:rPr>
          <w:rStyle w:val="Emphasis"/>
          <w:color w:val="0E101A"/>
        </w:rPr>
        <w:t xml:space="preserve">. </w:t>
      </w:r>
      <w:r w:rsidRPr="00E87A45">
        <w:rPr>
          <w:rStyle w:val="Emphasis"/>
          <w:i w:val="0"/>
          <w:color w:val="0E101A"/>
        </w:rPr>
        <w:t>The bacterial profile of the gut can be altered by highly saturated fat in the diet. A study on mice reveals the fats increases</w:t>
      </w:r>
      <w:r w:rsidRPr="00E87A45">
        <w:rPr>
          <w:rStyle w:val="Emphasis"/>
          <w:color w:val="0E101A"/>
        </w:rPr>
        <w:t xml:space="preserve"> </w:t>
      </w:r>
      <w:proofErr w:type="spellStart"/>
      <w:r w:rsidRPr="00E87A45">
        <w:rPr>
          <w:rStyle w:val="Emphasis"/>
          <w:color w:val="0E101A"/>
        </w:rPr>
        <w:t>Actinobacteria</w:t>
      </w:r>
      <w:proofErr w:type="spellEnd"/>
      <w:r w:rsidRPr="00E87A45">
        <w:rPr>
          <w:color w:val="0E101A"/>
        </w:rPr>
        <w:t> (</w:t>
      </w:r>
      <w:proofErr w:type="spellStart"/>
      <w:r w:rsidRPr="00E87A45">
        <w:rPr>
          <w:rStyle w:val="Emphasis"/>
          <w:color w:val="0E101A"/>
        </w:rPr>
        <w:t>Adlercreutzia</w:t>
      </w:r>
      <w:proofErr w:type="spellEnd"/>
      <w:r w:rsidRPr="00E87A45">
        <w:rPr>
          <w:rStyle w:val="Emphasis"/>
          <w:color w:val="0E101A"/>
        </w:rPr>
        <w:t xml:space="preserve"> </w:t>
      </w:r>
      <w:r w:rsidRPr="00E87A45">
        <w:rPr>
          <w:rStyle w:val="Emphasis"/>
          <w:color w:val="0E101A"/>
        </w:rPr>
        <w:lastRenderedPageBreak/>
        <w:t xml:space="preserve">and </w:t>
      </w:r>
      <w:proofErr w:type="spellStart"/>
      <w:r w:rsidRPr="00E87A45">
        <w:rPr>
          <w:rStyle w:val="Emphasis"/>
          <w:color w:val="0E101A"/>
        </w:rPr>
        <w:t>Bifidobacterium</w:t>
      </w:r>
      <w:proofErr w:type="spellEnd"/>
      <w:r w:rsidRPr="00E87A45">
        <w:rPr>
          <w:color w:val="0E101A"/>
        </w:rPr>
        <w:t>), </w:t>
      </w:r>
      <w:proofErr w:type="spellStart"/>
      <w:r w:rsidRPr="00E87A45">
        <w:rPr>
          <w:rStyle w:val="Emphasis"/>
          <w:color w:val="0E101A"/>
        </w:rPr>
        <w:t>Verrucomicrobia</w:t>
      </w:r>
      <w:proofErr w:type="spellEnd"/>
      <w:r w:rsidRPr="00E87A45">
        <w:rPr>
          <w:color w:val="0E101A"/>
        </w:rPr>
        <w:t> (</w:t>
      </w:r>
      <w:proofErr w:type="spellStart"/>
      <w:r w:rsidRPr="00E87A45">
        <w:rPr>
          <w:rStyle w:val="Emphasis"/>
          <w:color w:val="0E101A"/>
        </w:rPr>
        <w:t>Akkermansia</w:t>
      </w:r>
      <w:proofErr w:type="spellEnd"/>
      <w:r w:rsidRPr="00E87A45">
        <w:rPr>
          <w:rStyle w:val="Emphasis"/>
          <w:color w:val="0E101A"/>
        </w:rPr>
        <w:t xml:space="preserve"> </w:t>
      </w:r>
      <w:proofErr w:type="spellStart"/>
      <w:r w:rsidRPr="00E87A45">
        <w:rPr>
          <w:rStyle w:val="Emphasis"/>
          <w:color w:val="0E101A"/>
        </w:rPr>
        <w:t>muciniphila</w:t>
      </w:r>
      <w:proofErr w:type="spellEnd"/>
      <w:r w:rsidRPr="00E87A45">
        <w:rPr>
          <w:color w:val="0E101A"/>
        </w:rPr>
        <w:t>), and </w:t>
      </w:r>
      <w:r w:rsidRPr="00E87A45">
        <w:rPr>
          <w:rStyle w:val="Emphasis"/>
          <w:color w:val="0E101A"/>
        </w:rPr>
        <w:t>Lactobacillus and Streptococcus</w:t>
      </w:r>
      <w:r w:rsidRPr="00E87A45">
        <w:rPr>
          <w:color w:val="0E101A"/>
        </w:rPr>
        <w:t> (lactic acid bacteria). Non-digestible and digestible carbohydrates report enrichment of </w:t>
      </w:r>
      <w:proofErr w:type="spellStart"/>
      <w:r w:rsidRPr="00E87A45">
        <w:rPr>
          <w:rStyle w:val="Emphasis"/>
          <w:color w:val="0E101A"/>
        </w:rPr>
        <w:t>Bifidobacterium</w:t>
      </w:r>
      <w:proofErr w:type="spellEnd"/>
      <w:r w:rsidRPr="00E87A45">
        <w:rPr>
          <w:color w:val="0E101A"/>
        </w:rPr>
        <w:t> while suppressing </w:t>
      </w:r>
      <w:r w:rsidRPr="00E87A45">
        <w:rPr>
          <w:rStyle w:val="Emphasis"/>
          <w:color w:val="0E101A"/>
        </w:rPr>
        <w:t>Clostridia (</w:t>
      </w:r>
      <w:r w:rsidRPr="00E87A45">
        <w:rPr>
          <w:color w:val="0E101A"/>
        </w:rPr>
        <w:t>Blanton, Barratt, Charbonneau, Ahmed &amp; Gordon, 2016). </w:t>
      </w:r>
      <w:r w:rsidRPr="00E87A45">
        <w:rPr>
          <w:rStyle w:val="Emphasis"/>
          <w:i w:val="0"/>
          <w:color w:val="0E101A"/>
        </w:rPr>
        <w:t>The non-digestible starch and carbohydrates enrich</w:t>
      </w:r>
      <w:r w:rsidRPr="00E87A45">
        <w:rPr>
          <w:rStyle w:val="Emphasis"/>
          <w:color w:val="0E101A"/>
        </w:rPr>
        <w:t xml:space="preserve"> </w:t>
      </w:r>
      <w:proofErr w:type="spellStart"/>
      <w:r w:rsidRPr="00E87A45">
        <w:rPr>
          <w:rStyle w:val="Emphasis"/>
          <w:color w:val="0E101A"/>
        </w:rPr>
        <w:t>Roseburia</w:t>
      </w:r>
      <w:proofErr w:type="spellEnd"/>
      <w:r w:rsidRPr="00E87A45">
        <w:rPr>
          <w:color w:val="0E101A"/>
        </w:rPr>
        <w:t>, </w:t>
      </w:r>
      <w:proofErr w:type="spellStart"/>
      <w:r w:rsidRPr="00E87A45">
        <w:rPr>
          <w:rStyle w:val="Emphasis"/>
          <w:color w:val="0E101A"/>
        </w:rPr>
        <w:t>Ruminococcus</w:t>
      </w:r>
      <w:proofErr w:type="spellEnd"/>
      <w:r w:rsidRPr="00E87A45">
        <w:rPr>
          <w:color w:val="0E101A"/>
        </w:rPr>
        <w:t>, </w:t>
      </w:r>
      <w:proofErr w:type="spellStart"/>
      <w:r w:rsidRPr="00E87A45">
        <w:rPr>
          <w:rStyle w:val="Emphasis"/>
          <w:color w:val="0E101A"/>
        </w:rPr>
        <w:t>Eubacterium</w:t>
      </w:r>
      <w:proofErr w:type="spellEnd"/>
      <w:r w:rsidRPr="00E87A45">
        <w:rPr>
          <w:rStyle w:val="Emphasis"/>
          <w:color w:val="0E101A"/>
        </w:rPr>
        <w:t xml:space="preserve"> </w:t>
      </w:r>
      <w:proofErr w:type="spellStart"/>
      <w:r w:rsidRPr="00E87A45">
        <w:rPr>
          <w:rStyle w:val="Emphasis"/>
          <w:color w:val="0E101A"/>
        </w:rPr>
        <w:t>rectale</w:t>
      </w:r>
      <w:proofErr w:type="spellEnd"/>
      <w:r w:rsidRPr="00E87A45">
        <w:rPr>
          <w:rStyle w:val="Emphasis"/>
          <w:color w:val="0E101A"/>
        </w:rPr>
        <w:t xml:space="preserve">, and Lactobacillus. </w:t>
      </w:r>
      <w:r w:rsidRPr="00E87A45">
        <w:rPr>
          <w:rStyle w:val="Emphasis"/>
          <w:i w:val="0"/>
          <w:color w:val="0E101A"/>
        </w:rPr>
        <w:t xml:space="preserve">Many amino acids pose problems to many people's digestion. Eggs, meat, among others, are protein sources and, when used in high amounts, lead to weight loss; unprocessed meat and red meat, when consumed in high amounts, trigger colorectal cancer. Developing </w:t>
      </w:r>
      <w:proofErr w:type="spellStart"/>
      <w:r w:rsidRPr="00E87A45">
        <w:rPr>
          <w:rStyle w:val="Emphasis"/>
          <w:i w:val="0"/>
          <w:color w:val="0E101A"/>
        </w:rPr>
        <w:t>microbiota</w:t>
      </w:r>
      <w:proofErr w:type="spellEnd"/>
      <w:r w:rsidRPr="00E87A45">
        <w:rPr>
          <w:rStyle w:val="Emphasis"/>
          <w:i w:val="0"/>
          <w:color w:val="0E101A"/>
        </w:rPr>
        <w:t xml:space="preserve">–directed therapeutic foods is </w:t>
      </w:r>
      <w:proofErr w:type="gramStart"/>
      <w:r w:rsidRPr="00E87A45">
        <w:rPr>
          <w:rStyle w:val="Emphasis"/>
          <w:i w:val="0"/>
          <w:color w:val="0E101A"/>
        </w:rPr>
        <w:t>key</w:t>
      </w:r>
      <w:proofErr w:type="gramEnd"/>
      <w:r w:rsidRPr="00E87A45">
        <w:rPr>
          <w:rStyle w:val="Emphasis"/>
          <w:i w:val="0"/>
          <w:color w:val="0E101A"/>
        </w:rPr>
        <w:t xml:space="preserve"> in shaping the maturation of the microbial community. Medication and lifestyle also shape </w:t>
      </w:r>
      <w:proofErr w:type="spellStart"/>
      <w:r w:rsidRPr="00E87A45">
        <w:rPr>
          <w:rStyle w:val="Emphasis"/>
          <w:i w:val="0"/>
          <w:color w:val="0E101A"/>
        </w:rPr>
        <w:t>microbiota</w:t>
      </w:r>
      <w:proofErr w:type="spellEnd"/>
      <w:r w:rsidRPr="00E87A45">
        <w:rPr>
          <w:rStyle w:val="Emphasis"/>
          <w:i w:val="0"/>
          <w:color w:val="0E101A"/>
        </w:rPr>
        <w:t xml:space="preserve"> maturation apart from the diet. </w:t>
      </w:r>
    </w:p>
    <w:p w:rsidR="00893CC1" w:rsidRPr="00E87A45" w:rsidRDefault="00893CC1" w:rsidP="00D222E6">
      <w:pPr>
        <w:pStyle w:val="NormalWeb"/>
        <w:spacing w:before="0" w:beforeAutospacing="0" w:after="0" w:afterAutospacing="0" w:line="276" w:lineRule="auto"/>
        <w:rPr>
          <w:i/>
          <w:color w:val="0E101A"/>
        </w:rPr>
      </w:pPr>
    </w:p>
    <w:p w:rsidR="0084437D" w:rsidRPr="00E87A45" w:rsidRDefault="0084437D" w:rsidP="00D222E6">
      <w:pPr>
        <w:pStyle w:val="NormalWeb"/>
        <w:spacing w:before="0" w:beforeAutospacing="0" w:after="0" w:afterAutospacing="0" w:line="276" w:lineRule="auto"/>
        <w:rPr>
          <w:rStyle w:val="Strong"/>
          <w:color w:val="0E101A"/>
        </w:rPr>
      </w:pPr>
    </w:p>
    <w:p w:rsidR="00B71190" w:rsidRPr="00E87A45" w:rsidRDefault="004C29D9" w:rsidP="00D222E6">
      <w:pPr>
        <w:pStyle w:val="NormalWeb"/>
        <w:spacing w:before="0" w:beforeAutospacing="0" w:after="0" w:afterAutospacing="0" w:line="276" w:lineRule="auto"/>
        <w:rPr>
          <w:rStyle w:val="Strong"/>
          <w:color w:val="0E101A"/>
        </w:rPr>
      </w:pPr>
      <w:r w:rsidRPr="00E87A45">
        <w:rPr>
          <w:rStyle w:val="Strong"/>
          <w:color w:val="0E101A"/>
        </w:rPr>
        <w:t>Summary</w:t>
      </w:r>
    </w:p>
    <w:p w:rsidR="00893CC1" w:rsidRPr="00E87A45" w:rsidRDefault="00893CC1" w:rsidP="00D222E6">
      <w:pPr>
        <w:pStyle w:val="NormalWeb"/>
        <w:spacing w:before="0" w:beforeAutospacing="0" w:after="0" w:afterAutospacing="0" w:line="276" w:lineRule="auto"/>
        <w:rPr>
          <w:color w:val="0E101A"/>
        </w:rPr>
      </w:pPr>
    </w:p>
    <w:p w:rsidR="0084437D" w:rsidRPr="00E87A45" w:rsidRDefault="004C29D9" w:rsidP="00EB590D">
      <w:pPr>
        <w:pStyle w:val="NormalWeb"/>
        <w:spacing w:before="0" w:beforeAutospacing="0" w:after="0" w:afterAutospacing="0" w:line="480" w:lineRule="auto"/>
        <w:rPr>
          <w:color w:val="0E101A"/>
        </w:rPr>
      </w:pPr>
      <w:r w:rsidRPr="00E87A45">
        <w:rPr>
          <w:color w:val="0E101A"/>
        </w:rPr>
        <w:t xml:space="preserve">           Evidence suggests that the gut </w:t>
      </w:r>
      <w:proofErr w:type="spellStart"/>
      <w:r w:rsidRPr="00E87A45">
        <w:rPr>
          <w:color w:val="0E101A"/>
        </w:rPr>
        <w:t>microbiome</w:t>
      </w:r>
      <w:proofErr w:type="spellEnd"/>
      <w:r w:rsidRPr="00E87A45">
        <w:rPr>
          <w:color w:val="0E101A"/>
        </w:rPr>
        <w:t xml:space="preserve"> has a profound influence on health. Recently the </w:t>
      </w:r>
      <w:proofErr w:type="spellStart"/>
      <w:r w:rsidRPr="00E87A45">
        <w:rPr>
          <w:color w:val="0E101A"/>
        </w:rPr>
        <w:t>microbiota</w:t>
      </w:r>
      <w:proofErr w:type="spellEnd"/>
      <w:r w:rsidRPr="00E87A45">
        <w:rPr>
          <w:color w:val="0E101A"/>
        </w:rPr>
        <w:t xml:space="preserve"> in the gut has shown to be involved in many roles in diseases such as mood disorders, obesity, diabetes, psoriasis, and autism. Modulating our diet based on the gut </w:t>
      </w:r>
      <w:proofErr w:type="spellStart"/>
      <w:r w:rsidRPr="00E87A45">
        <w:rPr>
          <w:color w:val="0E101A"/>
        </w:rPr>
        <w:t>microbiome</w:t>
      </w:r>
      <w:proofErr w:type="spellEnd"/>
      <w:r w:rsidRPr="00E87A45">
        <w:rPr>
          <w:color w:val="0E101A"/>
        </w:rPr>
        <w:t xml:space="preserve"> and healthy relationship can help us evade many diseases and increase the health quality of human beings. When the gut microbial environment is consis</w:t>
      </w:r>
      <w:r w:rsidR="00F2757B" w:rsidRPr="00E87A45">
        <w:rPr>
          <w:color w:val="0E101A"/>
        </w:rPr>
        <w:t>tently immature, t</w:t>
      </w:r>
      <w:r w:rsidRPr="00E87A45">
        <w:rPr>
          <w:color w:val="0E101A"/>
        </w:rPr>
        <w:t xml:space="preserve">he </w:t>
      </w:r>
      <w:proofErr w:type="spellStart"/>
      <w:r w:rsidRPr="00E87A45">
        <w:rPr>
          <w:color w:val="0E101A"/>
        </w:rPr>
        <w:t>microbiota</w:t>
      </w:r>
      <w:proofErr w:type="spellEnd"/>
      <w:r w:rsidRPr="00E87A45">
        <w:rPr>
          <w:color w:val="0E101A"/>
        </w:rPr>
        <w:t xml:space="preserve"> can trigger conditions when the diet and other factors that facilitate the change</w:t>
      </w:r>
      <w:r w:rsidRPr="0048398F">
        <w:rPr>
          <w:rFonts w:asciiTheme="minorHAnsi" w:hAnsiTheme="minorHAnsi" w:cstheme="minorHAnsi"/>
          <w:color w:val="0E101A"/>
        </w:rPr>
        <w:t xml:space="preserve"> </w:t>
      </w:r>
      <w:r w:rsidRPr="00E87A45">
        <w:rPr>
          <w:color w:val="0E101A"/>
        </w:rPr>
        <w:t xml:space="preserve">in the ecological system of the gut </w:t>
      </w:r>
      <w:r w:rsidR="00D222E6" w:rsidRPr="00E87A45">
        <w:rPr>
          <w:color w:val="0E101A"/>
        </w:rPr>
        <w:t>may induce</w:t>
      </w:r>
      <w:r w:rsidRPr="00E87A45">
        <w:rPr>
          <w:color w:val="0E101A"/>
        </w:rPr>
        <w:t xml:space="preserve"> inflammation. Bacterial </w:t>
      </w:r>
      <w:proofErr w:type="spellStart"/>
      <w:r w:rsidRPr="00E87A45">
        <w:rPr>
          <w:color w:val="0E101A"/>
        </w:rPr>
        <w:t>genotoxins</w:t>
      </w:r>
      <w:proofErr w:type="spellEnd"/>
      <w:r w:rsidRPr="00E87A45">
        <w:rPr>
          <w:color w:val="0E101A"/>
        </w:rPr>
        <w:t xml:space="preserve"> cause damage to DNA organs, produce carcinogens from metabolites. </w:t>
      </w:r>
    </w:p>
    <w:p w:rsidR="0084437D" w:rsidRPr="00E87A45" w:rsidRDefault="0084437D" w:rsidP="00754D11">
      <w:pPr>
        <w:pStyle w:val="NormalWeb"/>
        <w:spacing w:before="0" w:beforeAutospacing="0" w:after="0" w:afterAutospacing="0" w:line="276" w:lineRule="auto"/>
        <w:ind w:firstLine="720"/>
        <w:rPr>
          <w:color w:val="0E101A"/>
        </w:rPr>
      </w:pPr>
    </w:p>
    <w:p w:rsidR="00D11F83" w:rsidRPr="00E87A45" w:rsidRDefault="004C29D9" w:rsidP="00754D11">
      <w:pPr>
        <w:pStyle w:val="NormalWeb"/>
        <w:spacing w:before="0" w:beforeAutospacing="0" w:after="0" w:afterAutospacing="0" w:line="480" w:lineRule="auto"/>
        <w:rPr>
          <w:color w:val="0E101A"/>
        </w:rPr>
      </w:pPr>
      <w:r w:rsidRPr="00E87A45">
        <w:rPr>
          <w:color w:val="0E101A"/>
        </w:rPr>
        <w:t xml:space="preserve">The population that consumes the western diet in abundance has relative increases in obesity. Physical activity and reducing weight are measures to reduce obesity. Type 2 diabetes can alter </w:t>
      </w:r>
      <w:proofErr w:type="spellStart"/>
      <w:r w:rsidRPr="00E87A45">
        <w:rPr>
          <w:color w:val="0E101A"/>
        </w:rPr>
        <w:t>microbiota</w:t>
      </w:r>
      <w:proofErr w:type="spellEnd"/>
      <w:r w:rsidRPr="00E87A45">
        <w:rPr>
          <w:color w:val="0E101A"/>
        </w:rPr>
        <w:t xml:space="preserve"> and gut </w:t>
      </w:r>
      <w:proofErr w:type="spellStart"/>
      <w:r w:rsidRPr="00E87A45">
        <w:rPr>
          <w:color w:val="0E101A"/>
        </w:rPr>
        <w:t>microbiota</w:t>
      </w:r>
      <w:proofErr w:type="spellEnd"/>
      <w:r w:rsidRPr="00E87A45">
        <w:rPr>
          <w:color w:val="0E101A"/>
        </w:rPr>
        <w:t xml:space="preserve"> functions such as butyrate prod</w:t>
      </w:r>
      <w:r w:rsidR="00F2757B" w:rsidRPr="00E87A45">
        <w:rPr>
          <w:color w:val="0E101A"/>
        </w:rPr>
        <w:t>uction</w:t>
      </w:r>
      <w:r w:rsidRPr="00E87A45">
        <w:rPr>
          <w:color w:val="0E101A"/>
        </w:rPr>
        <w:t xml:space="preserve"> and secondary metabolic </w:t>
      </w:r>
      <w:r w:rsidRPr="00E87A45">
        <w:rPr>
          <w:color w:val="0E101A"/>
        </w:rPr>
        <w:lastRenderedPageBreak/>
        <w:t>bile acid</w:t>
      </w:r>
      <w:r w:rsidR="00F2757B" w:rsidRPr="00E87A45">
        <w:rPr>
          <w:color w:val="0E101A"/>
        </w:rPr>
        <w:t xml:space="preserve"> production</w:t>
      </w:r>
      <w:r w:rsidRPr="00E87A45">
        <w:rPr>
          <w:color w:val="0E101A"/>
        </w:rPr>
        <w:t xml:space="preserve">. Internationally the leading cause of death is cardiovascular-related diseases. GIT </w:t>
      </w:r>
      <w:proofErr w:type="spellStart"/>
      <w:r w:rsidR="00F57CB3" w:rsidRPr="00E87A45">
        <w:rPr>
          <w:color w:val="0E101A"/>
        </w:rPr>
        <w:t>microbiota</w:t>
      </w:r>
      <w:proofErr w:type="spellEnd"/>
      <w:r w:rsidR="00F57CB3" w:rsidRPr="00E87A45">
        <w:rPr>
          <w:color w:val="0E101A"/>
        </w:rPr>
        <w:t xml:space="preserve"> is linked to impairing and prevents</w:t>
      </w:r>
      <w:r w:rsidRPr="00E87A45">
        <w:rPr>
          <w:color w:val="0E101A"/>
        </w:rPr>
        <w:t xml:space="preserve"> cardiovascular diseases depending on food consumption by different people. Several studies discuss the influence of diet in gut </w:t>
      </w:r>
      <w:proofErr w:type="spellStart"/>
      <w:r w:rsidRPr="00E87A45">
        <w:rPr>
          <w:color w:val="0E101A"/>
        </w:rPr>
        <w:t>microbiota</w:t>
      </w:r>
      <w:proofErr w:type="spellEnd"/>
      <w:r w:rsidRPr="00E87A45">
        <w:rPr>
          <w:color w:val="0E101A"/>
        </w:rPr>
        <w:t xml:space="preserve"> on different perspectives such as breastfeeding, diseases</w:t>
      </w:r>
      <w:proofErr w:type="gramStart"/>
      <w:r w:rsidRPr="00E87A45">
        <w:rPr>
          <w:color w:val="0E101A"/>
        </w:rPr>
        <w:t>,  food</w:t>
      </w:r>
      <w:proofErr w:type="gramEnd"/>
      <w:r w:rsidRPr="00E87A45">
        <w:rPr>
          <w:color w:val="0E101A"/>
        </w:rPr>
        <w:t xml:space="preserve"> taken, and relative </w:t>
      </w:r>
      <w:proofErr w:type="spellStart"/>
      <w:r w:rsidRPr="00E87A45">
        <w:rPr>
          <w:color w:val="0E101A"/>
        </w:rPr>
        <w:t>microbiota</w:t>
      </w:r>
      <w:proofErr w:type="spellEnd"/>
      <w:r w:rsidRPr="00E87A45">
        <w:rPr>
          <w:color w:val="0E101A"/>
        </w:rPr>
        <w:t xml:space="preserve"> abundance and suppression. The studies are correlated and identify immune responses, metabolism, and the functions of </w:t>
      </w:r>
      <w:proofErr w:type="spellStart"/>
      <w:r w:rsidRPr="00E87A45">
        <w:rPr>
          <w:color w:val="0E101A"/>
        </w:rPr>
        <w:t>microbiota</w:t>
      </w:r>
      <w:proofErr w:type="spellEnd"/>
      <w:r w:rsidRPr="00E87A45">
        <w:rPr>
          <w:color w:val="0E101A"/>
        </w:rPr>
        <w:t>. Food and its constituents have a significant impact on human health, and regulating diet is crucial due to the diverse world and a world with processed foods in all corners.</w:t>
      </w:r>
    </w:p>
    <w:p w:rsidR="007A750D" w:rsidRPr="0048398F" w:rsidRDefault="004C29D9" w:rsidP="00D222E6">
      <w:pPr>
        <w:spacing w:after="0" w:line="276" w:lineRule="auto"/>
        <w:rPr>
          <w:rFonts w:asciiTheme="minorHAnsi" w:eastAsia="Times New Roman" w:hAnsiTheme="minorHAnsi" w:cstheme="minorHAnsi"/>
          <w:color w:val="0E101A"/>
          <w:szCs w:val="24"/>
        </w:rPr>
      </w:pPr>
      <w:r w:rsidRPr="0048398F">
        <w:rPr>
          <w:rFonts w:asciiTheme="minorHAnsi" w:hAnsiTheme="minorHAnsi" w:cstheme="minorHAnsi"/>
          <w:color w:val="0E101A"/>
          <w:szCs w:val="24"/>
        </w:rPr>
        <w:br w:type="page"/>
      </w:r>
    </w:p>
    <w:p w:rsidR="007A750D" w:rsidRPr="0048398F" w:rsidRDefault="007A750D" w:rsidP="00D222E6">
      <w:pPr>
        <w:pStyle w:val="NormalWeb"/>
        <w:spacing w:before="0" w:beforeAutospacing="0" w:after="0" w:afterAutospacing="0" w:line="276" w:lineRule="auto"/>
        <w:rPr>
          <w:rFonts w:asciiTheme="minorHAnsi" w:hAnsiTheme="minorHAnsi" w:cstheme="minorHAnsi"/>
          <w:color w:val="0E101A"/>
        </w:rPr>
      </w:pPr>
    </w:p>
    <w:p w:rsidR="007A750D" w:rsidRDefault="004C29D9" w:rsidP="00D222E6">
      <w:pPr>
        <w:tabs>
          <w:tab w:val="left" w:pos="720"/>
          <w:tab w:val="left" w:pos="7125"/>
        </w:tabs>
        <w:spacing w:after="0" w:line="276" w:lineRule="auto"/>
        <w:rPr>
          <w:rFonts w:asciiTheme="minorHAnsi" w:hAnsiTheme="minorHAnsi" w:cstheme="minorHAnsi"/>
          <w:b/>
          <w:sz w:val="28"/>
          <w:szCs w:val="28"/>
        </w:rPr>
      </w:pPr>
      <w:r w:rsidRPr="00893CC1">
        <w:rPr>
          <w:rFonts w:asciiTheme="minorHAnsi" w:hAnsiTheme="minorHAnsi" w:cstheme="minorHAnsi"/>
          <w:b/>
          <w:sz w:val="28"/>
          <w:szCs w:val="28"/>
        </w:rPr>
        <w:t>References</w:t>
      </w:r>
    </w:p>
    <w:p w:rsidR="00893CC1" w:rsidRPr="00893CC1" w:rsidRDefault="00893CC1" w:rsidP="00D222E6">
      <w:pPr>
        <w:tabs>
          <w:tab w:val="left" w:pos="720"/>
          <w:tab w:val="left" w:pos="7125"/>
        </w:tabs>
        <w:spacing w:after="0" w:line="276" w:lineRule="auto"/>
        <w:rPr>
          <w:rFonts w:asciiTheme="minorHAnsi" w:hAnsiTheme="minorHAnsi" w:cstheme="minorHAnsi"/>
          <w:b/>
          <w:sz w:val="28"/>
          <w:szCs w:val="28"/>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rPr>
        <w:t xml:space="preserve">Blanton, L. V., Barratt, M. J., Charbonneau, M. R., Ahmed, T., &amp; Gordon, J. I. (2016). Childhood </w:t>
      </w:r>
      <w:proofErr w:type="spellStart"/>
      <w:r w:rsidRPr="0048398F">
        <w:rPr>
          <w:rFonts w:cstheme="minorHAnsi"/>
          <w:sz w:val="24"/>
          <w:szCs w:val="24"/>
        </w:rPr>
        <w:t>undernutrition</w:t>
      </w:r>
      <w:proofErr w:type="spellEnd"/>
      <w:r w:rsidRPr="0048398F">
        <w:rPr>
          <w:rFonts w:cstheme="minorHAnsi"/>
          <w:sz w:val="24"/>
          <w:szCs w:val="24"/>
        </w:rPr>
        <w:t xml:space="preserve">, the gut </w:t>
      </w:r>
      <w:proofErr w:type="spellStart"/>
      <w:r w:rsidRPr="0048398F">
        <w:rPr>
          <w:rFonts w:cstheme="minorHAnsi"/>
          <w:sz w:val="24"/>
          <w:szCs w:val="24"/>
        </w:rPr>
        <w:t>microbiota</w:t>
      </w:r>
      <w:proofErr w:type="spellEnd"/>
      <w:r w:rsidRPr="0048398F">
        <w:rPr>
          <w:rFonts w:cstheme="minorHAnsi"/>
          <w:sz w:val="24"/>
          <w:szCs w:val="24"/>
        </w:rPr>
        <w:t xml:space="preserve">, and </w:t>
      </w:r>
      <w:proofErr w:type="spellStart"/>
      <w:r w:rsidRPr="0048398F">
        <w:rPr>
          <w:rFonts w:cstheme="minorHAnsi"/>
          <w:sz w:val="24"/>
          <w:szCs w:val="24"/>
        </w:rPr>
        <w:t>microbiota</w:t>
      </w:r>
      <w:proofErr w:type="spellEnd"/>
      <w:r w:rsidRPr="0048398F">
        <w:rPr>
          <w:rFonts w:cstheme="minorHAnsi"/>
          <w:sz w:val="24"/>
          <w:szCs w:val="24"/>
        </w:rPr>
        <w:t>-directed therapeutics. Science, 352(6293), 1533-1533.</w:t>
      </w:r>
      <w:r w:rsidR="00691397" w:rsidRPr="00691397">
        <w:t xml:space="preserve"> </w:t>
      </w:r>
      <w:hyperlink r:id="rId8" w:history="1">
        <w:r w:rsidR="00691397" w:rsidRPr="00111C6A">
          <w:rPr>
            <w:rStyle w:val="Hyperlink"/>
            <w:rFonts w:cstheme="minorHAnsi"/>
            <w:sz w:val="24"/>
            <w:szCs w:val="24"/>
          </w:rPr>
          <w:t>https://science.sciencemag.org/content/352/6293/1533.abstract</w:t>
        </w:r>
      </w:hyperlink>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111C6A">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shd w:val="clear" w:color="auto" w:fill="FFFFFF"/>
        </w:rPr>
        <w:t>Braune</w:t>
      </w:r>
      <w:proofErr w:type="spellEnd"/>
      <w:r w:rsidRPr="0048398F">
        <w:rPr>
          <w:rFonts w:cstheme="minorHAnsi"/>
          <w:sz w:val="24"/>
          <w:szCs w:val="24"/>
          <w:shd w:val="clear" w:color="auto" w:fill="FFFFFF"/>
        </w:rPr>
        <w:t xml:space="preserve">, A., &amp; </w:t>
      </w:r>
      <w:proofErr w:type="spellStart"/>
      <w:r w:rsidRPr="0048398F">
        <w:rPr>
          <w:rFonts w:cstheme="minorHAnsi"/>
          <w:sz w:val="24"/>
          <w:szCs w:val="24"/>
          <w:shd w:val="clear" w:color="auto" w:fill="FFFFFF"/>
        </w:rPr>
        <w:t>Blaut</w:t>
      </w:r>
      <w:proofErr w:type="spellEnd"/>
      <w:r w:rsidRPr="0048398F">
        <w:rPr>
          <w:rFonts w:cstheme="minorHAnsi"/>
          <w:sz w:val="24"/>
          <w:szCs w:val="24"/>
          <w:shd w:val="clear" w:color="auto" w:fill="FFFFFF"/>
        </w:rPr>
        <w:t>, M. (2016). Bacterial species involved in the conversion of dietary flavonoids in the human gut. </w:t>
      </w:r>
      <w:r w:rsidRPr="0048398F">
        <w:rPr>
          <w:rFonts w:cstheme="minorHAnsi"/>
          <w:i/>
          <w:iCs/>
          <w:sz w:val="24"/>
          <w:szCs w:val="24"/>
          <w:shd w:val="clear" w:color="auto" w:fill="FFFFFF"/>
        </w:rPr>
        <w:t>Gut microbes</w:t>
      </w:r>
      <w:r w:rsidRPr="0048398F">
        <w:rPr>
          <w:rFonts w:cstheme="minorHAnsi"/>
          <w:sz w:val="24"/>
          <w:szCs w:val="24"/>
          <w:shd w:val="clear" w:color="auto" w:fill="FFFFFF"/>
        </w:rPr>
        <w:t>, </w:t>
      </w:r>
      <w:r w:rsidRPr="0048398F">
        <w:rPr>
          <w:rFonts w:cstheme="minorHAnsi"/>
          <w:i/>
          <w:iCs/>
          <w:sz w:val="24"/>
          <w:szCs w:val="24"/>
          <w:shd w:val="clear" w:color="auto" w:fill="FFFFFF"/>
        </w:rPr>
        <w:t>7</w:t>
      </w:r>
      <w:r w:rsidRPr="0048398F">
        <w:rPr>
          <w:rFonts w:cstheme="minorHAnsi"/>
          <w:sz w:val="24"/>
          <w:szCs w:val="24"/>
          <w:shd w:val="clear" w:color="auto" w:fill="FFFFFF"/>
        </w:rPr>
        <w:t>(3), 216-234.</w:t>
      </w:r>
      <w:r w:rsidR="00111C6A" w:rsidRPr="00111C6A">
        <w:t xml:space="preserve"> </w:t>
      </w:r>
      <w:hyperlink r:id="rId9" w:history="1">
        <w:r w:rsidR="00111C6A" w:rsidRPr="00111C6A">
          <w:rPr>
            <w:rStyle w:val="Hyperlink"/>
            <w:rFonts w:cstheme="minorHAnsi"/>
            <w:sz w:val="24"/>
            <w:szCs w:val="24"/>
            <w:shd w:val="clear" w:color="auto" w:fill="FFFFFF"/>
          </w:rPr>
          <w:t>https://pubmed.ncbi.nlm.nih.gov/26963713/</w:t>
        </w:r>
      </w:hyperlink>
      <w:bookmarkStart w:id="0" w:name="_GoBack"/>
      <w:bookmarkEnd w:id="0"/>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shd w:val="clear" w:color="auto" w:fill="FFFFFF"/>
        </w:rPr>
        <w:t>Galland</w:t>
      </w:r>
      <w:proofErr w:type="spellEnd"/>
      <w:r w:rsidRPr="0048398F">
        <w:rPr>
          <w:rFonts w:cstheme="minorHAnsi"/>
          <w:sz w:val="24"/>
          <w:szCs w:val="24"/>
          <w:shd w:val="clear" w:color="auto" w:fill="FFFFFF"/>
        </w:rPr>
        <w:t xml:space="preserve">, L. (2014). The gut </w:t>
      </w:r>
      <w:proofErr w:type="spellStart"/>
      <w:r w:rsidRPr="0048398F">
        <w:rPr>
          <w:rFonts w:cstheme="minorHAnsi"/>
          <w:sz w:val="24"/>
          <w:szCs w:val="24"/>
          <w:shd w:val="clear" w:color="auto" w:fill="FFFFFF"/>
        </w:rPr>
        <w:t>microbiome</w:t>
      </w:r>
      <w:proofErr w:type="spellEnd"/>
      <w:r w:rsidRPr="0048398F">
        <w:rPr>
          <w:rFonts w:cstheme="minorHAnsi"/>
          <w:sz w:val="24"/>
          <w:szCs w:val="24"/>
          <w:shd w:val="clear" w:color="auto" w:fill="FFFFFF"/>
        </w:rPr>
        <w:t xml:space="preserve"> and the brain. </w:t>
      </w:r>
      <w:r w:rsidRPr="0048398F">
        <w:rPr>
          <w:rFonts w:cstheme="minorHAnsi"/>
          <w:i/>
          <w:iCs/>
          <w:sz w:val="24"/>
          <w:szCs w:val="24"/>
          <w:shd w:val="clear" w:color="auto" w:fill="FFFFFF"/>
        </w:rPr>
        <w:t>Journal of medicinal food</w:t>
      </w:r>
      <w:r w:rsidRPr="0048398F">
        <w:rPr>
          <w:rFonts w:cstheme="minorHAnsi"/>
          <w:sz w:val="24"/>
          <w:szCs w:val="24"/>
          <w:shd w:val="clear" w:color="auto" w:fill="FFFFFF"/>
        </w:rPr>
        <w:t>, </w:t>
      </w:r>
      <w:r w:rsidRPr="0048398F">
        <w:rPr>
          <w:rFonts w:cstheme="minorHAnsi"/>
          <w:i/>
          <w:iCs/>
          <w:sz w:val="24"/>
          <w:szCs w:val="24"/>
          <w:shd w:val="clear" w:color="auto" w:fill="FFFFFF"/>
        </w:rPr>
        <w:t>17</w:t>
      </w:r>
      <w:r w:rsidRPr="0048398F">
        <w:rPr>
          <w:rFonts w:cstheme="minorHAnsi"/>
          <w:sz w:val="24"/>
          <w:szCs w:val="24"/>
          <w:shd w:val="clear" w:color="auto" w:fill="FFFFFF"/>
        </w:rPr>
        <w:t>(12), 1261-1272.</w:t>
      </w:r>
      <w:r w:rsidR="00691397" w:rsidRPr="00691397">
        <w:t xml:space="preserve"> </w:t>
      </w:r>
      <w:hyperlink r:id="rId10" w:history="1">
        <w:r w:rsidR="00691397" w:rsidRPr="00111C6A">
          <w:rPr>
            <w:rStyle w:val="Hyperlink"/>
            <w:rFonts w:cstheme="minorHAnsi"/>
            <w:sz w:val="24"/>
            <w:szCs w:val="24"/>
            <w:shd w:val="clear" w:color="auto" w:fill="FFFFFF"/>
          </w:rPr>
          <w:t>https://www.liebertpub.com/doi/abs/10.1089/jmf.2014.7000</w:t>
        </w:r>
      </w:hyperlink>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shd w:val="clear" w:color="auto" w:fill="FFFFFF"/>
        </w:rPr>
        <w:t xml:space="preserve">Graf, D., Di </w:t>
      </w:r>
      <w:proofErr w:type="spellStart"/>
      <w:r w:rsidRPr="0048398F">
        <w:rPr>
          <w:rFonts w:cstheme="minorHAnsi"/>
          <w:sz w:val="24"/>
          <w:szCs w:val="24"/>
          <w:shd w:val="clear" w:color="auto" w:fill="FFFFFF"/>
        </w:rPr>
        <w:t>Cagno</w:t>
      </w:r>
      <w:proofErr w:type="spellEnd"/>
      <w:r w:rsidRPr="0048398F">
        <w:rPr>
          <w:rFonts w:cstheme="minorHAnsi"/>
          <w:sz w:val="24"/>
          <w:szCs w:val="24"/>
          <w:shd w:val="clear" w:color="auto" w:fill="FFFFFF"/>
        </w:rPr>
        <w:t xml:space="preserve">, R., </w:t>
      </w:r>
      <w:proofErr w:type="spellStart"/>
      <w:r w:rsidRPr="0048398F">
        <w:rPr>
          <w:rFonts w:cstheme="minorHAnsi"/>
          <w:sz w:val="24"/>
          <w:szCs w:val="24"/>
          <w:shd w:val="clear" w:color="auto" w:fill="FFFFFF"/>
        </w:rPr>
        <w:t>Fåk</w:t>
      </w:r>
      <w:proofErr w:type="spellEnd"/>
      <w:r w:rsidRPr="0048398F">
        <w:rPr>
          <w:rFonts w:cstheme="minorHAnsi"/>
          <w:sz w:val="24"/>
          <w:szCs w:val="24"/>
          <w:shd w:val="clear" w:color="auto" w:fill="FFFFFF"/>
        </w:rPr>
        <w:t xml:space="preserve">, F., Flint, H. J., Nyman, M., </w:t>
      </w:r>
      <w:proofErr w:type="spellStart"/>
      <w:r w:rsidRPr="0048398F">
        <w:rPr>
          <w:rFonts w:cstheme="minorHAnsi"/>
          <w:sz w:val="24"/>
          <w:szCs w:val="24"/>
          <w:shd w:val="clear" w:color="auto" w:fill="FFFFFF"/>
        </w:rPr>
        <w:t>Saarela</w:t>
      </w:r>
      <w:proofErr w:type="spellEnd"/>
      <w:r w:rsidRPr="0048398F">
        <w:rPr>
          <w:rFonts w:cstheme="minorHAnsi"/>
          <w:sz w:val="24"/>
          <w:szCs w:val="24"/>
          <w:shd w:val="clear" w:color="auto" w:fill="FFFFFF"/>
        </w:rPr>
        <w:t xml:space="preserve">, M., &amp; </w:t>
      </w:r>
      <w:proofErr w:type="spellStart"/>
      <w:r w:rsidRPr="0048398F">
        <w:rPr>
          <w:rFonts w:cstheme="minorHAnsi"/>
          <w:sz w:val="24"/>
          <w:szCs w:val="24"/>
          <w:shd w:val="clear" w:color="auto" w:fill="FFFFFF"/>
        </w:rPr>
        <w:t>Watzl</w:t>
      </w:r>
      <w:proofErr w:type="spellEnd"/>
      <w:r w:rsidRPr="0048398F">
        <w:rPr>
          <w:rFonts w:cstheme="minorHAnsi"/>
          <w:sz w:val="24"/>
          <w:szCs w:val="24"/>
          <w:shd w:val="clear" w:color="auto" w:fill="FFFFFF"/>
        </w:rPr>
        <w:t xml:space="preserve">, B. (2015). Contribution of diet to the composition of the human gut </w:t>
      </w:r>
      <w:proofErr w:type="spellStart"/>
      <w:r w:rsidRPr="0048398F">
        <w:rPr>
          <w:rFonts w:cstheme="minorHAnsi"/>
          <w:sz w:val="24"/>
          <w:szCs w:val="24"/>
          <w:shd w:val="clear" w:color="auto" w:fill="FFFFFF"/>
        </w:rPr>
        <w:t>microbiota</w:t>
      </w:r>
      <w:proofErr w:type="spellEnd"/>
      <w:r w:rsidRPr="0048398F">
        <w:rPr>
          <w:rFonts w:cstheme="minorHAnsi"/>
          <w:sz w:val="24"/>
          <w:szCs w:val="24"/>
          <w:shd w:val="clear" w:color="auto" w:fill="FFFFFF"/>
        </w:rPr>
        <w:t>. </w:t>
      </w:r>
      <w:r w:rsidRPr="0048398F">
        <w:rPr>
          <w:rFonts w:cstheme="minorHAnsi"/>
          <w:i/>
          <w:iCs/>
          <w:sz w:val="24"/>
          <w:szCs w:val="24"/>
          <w:shd w:val="clear" w:color="auto" w:fill="FFFFFF"/>
        </w:rPr>
        <w:t>Microbial ecology in health and disease</w:t>
      </w:r>
      <w:r w:rsidRPr="0048398F">
        <w:rPr>
          <w:rFonts w:cstheme="minorHAnsi"/>
          <w:sz w:val="24"/>
          <w:szCs w:val="24"/>
          <w:shd w:val="clear" w:color="auto" w:fill="FFFFFF"/>
        </w:rPr>
        <w:t>, </w:t>
      </w:r>
      <w:r w:rsidRPr="0048398F">
        <w:rPr>
          <w:rFonts w:cstheme="minorHAnsi"/>
          <w:i/>
          <w:iCs/>
          <w:sz w:val="24"/>
          <w:szCs w:val="24"/>
          <w:shd w:val="clear" w:color="auto" w:fill="FFFFFF"/>
        </w:rPr>
        <w:t>26</w:t>
      </w:r>
      <w:r w:rsidRPr="0048398F">
        <w:rPr>
          <w:rFonts w:cstheme="minorHAnsi"/>
          <w:sz w:val="24"/>
          <w:szCs w:val="24"/>
          <w:shd w:val="clear" w:color="auto" w:fill="FFFFFF"/>
        </w:rPr>
        <w:t>(1), 26164.</w:t>
      </w:r>
      <w:r w:rsidR="00691397" w:rsidRPr="00691397">
        <w:t xml:space="preserve"> </w:t>
      </w:r>
      <w:hyperlink r:id="rId11" w:history="1">
        <w:r w:rsidR="00691397" w:rsidRPr="00111C6A">
          <w:rPr>
            <w:rStyle w:val="Hyperlink"/>
            <w:rFonts w:cstheme="minorHAnsi"/>
            <w:sz w:val="24"/>
            <w:szCs w:val="24"/>
            <w:shd w:val="clear" w:color="auto" w:fill="FFFFFF"/>
          </w:rPr>
          <w:t>https://www.tandfonline.com/doi/abs/10.3402/mehd.v26.26164</w:t>
        </w:r>
      </w:hyperlink>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lastRenderedPageBreak/>
        <w:t>McBurney</w:t>
      </w:r>
      <w:proofErr w:type="spellEnd"/>
      <w:r w:rsidRPr="0048398F">
        <w:rPr>
          <w:rFonts w:cstheme="minorHAnsi"/>
          <w:sz w:val="24"/>
          <w:szCs w:val="24"/>
        </w:rPr>
        <w:t xml:space="preserve">, M. I., Davis, C., Fraser, C. M., </w:t>
      </w:r>
      <w:proofErr w:type="spellStart"/>
      <w:r w:rsidRPr="0048398F">
        <w:rPr>
          <w:rFonts w:cstheme="minorHAnsi"/>
          <w:sz w:val="24"/>
          <w:szCs w:val="24"/>
        </w:rPr>
        <w:t>Schneeman</w:t>
      </w:r>
      <w:proofErr w:type="spellEnd"/>
      <w:r w:rsidRPr="0048398F">
        <w:rPr>
          <w:rFonts w:cstheme="minorHAnsi"/>
          <w:sz w:val="24"/>
          <w:szCs w:val="24"/>
        </w:rPr>
        <w:t xml:space="preserve">, B. O., </w:t>
      </w:r>
      <w:proofErr w:type="spellStart"/>
      <w:r w:rsidRPr="0048398F">
        <w:rPr>
          <w:rFonts w:cstheme="minorHAnsi"/>
          <w:sz w:val="24"/>
          <w:szCs w:val="24"/>
        </w:rPr>
        <w:t>Huttenhower</w:t>
      </w:r>
      <w:proofErr w:type="spellEnd"/>
      <w:r w:rsidRPr="0048398F">
        <w:rPr>
          <w:rFonts w:cstheme="minorHAnsi"/>
          <w:sz w:val="24"/>
          <w:szCs w:val="24"/>
        </w:rPr>
        <w:t xml:space="preserve">, C., </w:t>
      </w:r>
      <w:proofErr w:type="spellStart"/>
      <w:r w:rsidRPr="0048398F">
        <w:rPr>
          <w:rFonts w:cstheme="minorHAnsi"/>
          <w:sz w:val="24"/>
          <w:szCs w:val="24"/>
        </w:rPr>
        <w:t>Verbeke</w:t>
      </w:r>
      <w:proofErr w:type="spellEnd"/>
      <w:r w:rsidRPr="0048398F">
        <w:rPr>
          <w:rFonts w:cstheme="minorHAnsi"/>
          <w:sz w:val="24"/>
          <w:szCs w:val="24"/>
        </w:rPr>
        <w:t>, K</w:t>
      </w:r>
      <w:proofErr w:type="gramStart"/>
      <w:r w:rsidRPr="0048398F">
        <w:rPr>
          <w:rFonts w:cstheme="minorHAnsi"/>
          <w:sz w:val="24"/>
          <w:szCs w:val="24"/>
        </w:rPr>
        <w:t>., ...</w:t>
      </w:r>
      <w:proofErr w:type="gramEnd"/>
      <w:r w:rsidRPr="0048398F">
        <w:rPr>
          <w:rFonts w:cstheme="minorHAnsi"/>
          <w:sz w:val="24"/>
          <w:szCs w:val="24"/>
        </w:rPr>
        <w:t xml:space="preserve"> &amp; </w:t>
      </w:r>
      <w:proofErr w:type="spellStart"/>
      <w:r w:rsidRPr="0048398F">
        <w:rPr>
          <w:rFonts w:cstheme="minorHAnsi"/>
          <w:sz w:val="24"/>
          <w:szCs w:val="24"/>
        </w:rPr>
        <w:t>Latulippe</w:t>
      </w:r>
      <w:proofErr w:type="spellEnd"/>
      <w:r w:rsidRPr="0048398F">
        <w:rPr>
          <w:rFonts w:cstheme="minorHAnsi"/>
          <w:sz w:val="24"/>
          <w:szCs w:val="24"/>
        </w:rPr>
        <w:t xml:space="preserve">, M. E. (2019). Establishing what constitutes a healthy human gut </w:t>
      </w:r>
      <w:proofErr w:type="spellStart"/>
      <w:r w:rsidRPr="0048398F">
        <w:rPr>
          <w:rFonts w:cstheme="minorHAnsi"/>
          <w:sz w:val="24"/>
          <w:szCs w:val="24"/>
        </w:rPr>
        <w:t>microbiome</w:t>
      </w:r>
      <w:proofErr w:type="spellEnd"/>
      <w:r w:rsidRPr="0048398F">
        <w:rPr>
          <w:rFonts w:cstheme="minorHAnsi"/>
          <w:sz w:val="24"/>
          <w:szCs w:val="24"/>
        </w:rPr>
        <w:t>: state of the science, regulatory considerations, and future directions. The Journal of nutrition, 149(11), 1882-1895.</w:t>
      </w:r>
      <w:r w:rsidR="00691397" w:rsidRPr="00691397">
        <w:t xml:space="preserve"> </w:t>
      </w:r>
      <w:hyperlink r:id="rId12" w:history="1">
        <w:r w:rsidR="00691397" w:rsidRPr="00111C6A">
          <w:rPr>
            <w:rStyle w:val="Hyperlink"/>
            <w:rFonts w:cstheme="minorHAnsi"/>
            <w:sz w:val="24"/>
            <w:szCs w:val="24"/>
          </w:rPr>
          <w:t>https://academic.oup.com/jn/article-abstract/149/11/1882/5542976</w:t>
        </w:r>
      </w:hyperlink>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t>Mischke</w:t>
      </w:r>
      <w:proofErr w:type="spellEnd"/>
      <w:r w:rsidRPr="0048398F">
        <w:rPr>
          <w:rFonts w:cstheme="minorHAnsi"/>
          <w:sz w:val="24"/>
          <w:szCs w:val="24"/>
        </w:rPr>
        <w:t xml:space="preserve">, M., &amp; </w:t>
      </w:r>
      <w:proofErr w:type="spellStart"/>
      <w:r w:rsidRPr="0048398F">
        <w:rPr>
          <w:rFonts w:cstheme="minorHAnsi"/>
          <w:sz w:val="24"/>
          <w:szCs w:val="24"/>
        </w:rPr>
        <w:t>Plösch</w:t>
      </w:r>
      <w:proofErr w:type="spellEnd"/>
      <w:r w:rsidRPr="0048398F">
        <w:rPr>
          <w:rFonts w:cstheme="minorHAnsi"/>
          <w:sz w:val="24"/>
          <w:szCs w:val="24"/>
        </w:rPr>
        <w:t xml:space="preserve">, T. (2013). More than just a gut instinct–the potential interplay between a baby's nutrition, its gut </w:t>
      </w:r>
      <w:proofErr w:type="spellStart"/>
      <w:r w:rsidRPr="0048398F">
        <w:rPr>
          <w:rFonts w:cstheme="minorHAnsi"/>
          <w:sz w:val="24"/>
          <w:szCs w:val="24"/>
        </w:rPr>
        <w:t>microbiome</w:t>
      </w:r>
      <w:proofErr w:type="spellEnd"/>
      <w:r w:rsidRPr="0048398F">
        <w:rPr>
          <w:rFonts w:cstheme="minorHAnsi"/>
          <w:sz w:val="24"/>
          <w:szCs w:val="24"/>
        </w:rPr>
        <w:t xml:space="preserve">, and the </w:t>
      </w:r>
      <w:proofErr w:type="spellStart"/>
      <w:r w:rsidRPr="0048398F">
        <w:rPr>
          <w:rFonts w:cstheme="minorHAnsi"/>
          <w:sz w:val="24"/>
          <w:szCs w:val="24"/>
        </w:rPr>
        <w:t>epigenome</w:t>
      </w:r>
      <w:proofErr w:type="spellEnd"/>
      <w:r w:rsidRPr="0048398F">
        <w:rPr>
          <w:rFonts w:cstheme="minorHAnsi"/>
          <w:sz w:val="24"/>
          <w:szCs w:val="24"/>
        </w:rPr>
        <w:t>. American Journal of Physiology-Regulatory, Integrative and Comparative Physiology, 304(12), R1065-R1069.</w:t>
      </w:r>
      <w:r w:rsidR="00691397" w:rsidRPr="00691397">
        <w:t xml:space="preserve"> </w:t>
      </w:r>
      <w:hyperlink r:id="rId13" w:history="1">
        <w:r w:rsidR="00691397" w:rsidRPr="00111C6A">
          <w:rPr>
            <w:rStyle w:val="Hyperlink"/>
            <w:rFonts w:cstheme="minorHAnsi"/>
            <w:sz w:val="24"/>
            <w:szCs w:val="24"/>
          </w:rPr>
          <w:t>https://journals.physiology.org/doi/abs/10.1152/ajpregu.00551.2012</w:t>
        </w:r>
      </w:hyperlink>
    </w:p>
    <w:p w:rsidR="0084437D" w:rsidRPr="0084437D" w:rsidRDefault="0084437D" w:rsidP="00E87A45">
      <w:pPr>
        <w:tabs>
          <w:tab w:val="left" w:pos="720"/>
        </w:tabs>
        <w:spacing w:after="0" w:line="480" w:lineRule="auto"/>
        <w:ind w:left="720" w:hangingChars="300" w:hanging="720"/>
        <w:rPr>
          <w:rFonts w:cstheme="minorHAnsi"/>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rPr>
        <w:t xml:space="preserve">O'Keefe, S. J. (2019). Plant-based foods and the </w:t>
      </w:r>
      <w:proofErr w:type="spellStart"/>
      <w:r w:rsidRPr="0048398F">
        <w:rPr>
          <w:rFonts w:cstheme="minorHAnsi"/>
          <w:sz w:val="24"/>
          <w:szCs w:val="24"/>
        </w:rPr>
        <w:t>microbiome</w:t>
      </w:r>
      <w:proofErr w:type="spellEnd"/>
      <w:r w:rsidRPr="0048398F">
        <w:rPr>
          <w:rFonts w:cstheme="minorHAnsi"/>
          <w:sz w:val="24"/>
          <w:szCs w:val="24"/>
        </w:rPr>
        <w:t xml:space="preserve"> in the preservation of health and prevention of disease.</w:t>
      </w:r>
      <w:r w:rsidR="00691397" w:rsidRPr="00691397">
        <w:t xml:space="preserve"> </w:t>
      </w:r>
      <w:hyperlink r:id="rId14" w:history="1">
        <w:r w:rsidR="00691397" w:rsidRPr="00111C6A">
          <w:rPr>
            <w:rStyle w:val="Hyperlink"/>
            <w:rFonts w:cstheme="minorHAnsi"/>
            <w:sz w:val="24"/>
            <w:szCs w:val="24"/>
          </w:rPr>
          <w:t>https://academic.oup.com/ajcn/article-abstract/110/2/265/5527773</w:t>
        </w:r>
      </w:hyperlink>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shd w:val="clear" w:color="auto" w:fill="FFFFFF"/>
        </w:rPr>
        <w:t xml:space="preserve">Rowland, I., Gibson, G., </w:t>
      </w:r>
      <w:proofErr w:type="spellStart"/>
      <w:r w:rsidRPr="0048398F">
        <w:rPr>
          <w:rFonts w:cstheme="minorHAnsi"/>
          <w:sz w:val="24"/>
          <w:szCs w:val="24"/>
          <w:shd w:val="clear" w:color="auto" w:fill="FFFFFF"/>
        </w:rPr>
        <w:t>Heinken</w:t>
      </w:r>
      <w:proofErr w:type="spellEnd"/>
      <w:r w:rsidRPr="0048398F">
        <w:rPr>
          <w:rFonts w:cstheme="minorHAnsi"/>
          <w:sz w:val="24"/>
          <w:szCs w:val="24"/>
          <w:shd w:val="clear" w:color="auto" w:fill="FFFFFF"/>
        </w:rPr>
        <w:t xml:space="preserve">, A., Scott, K., Swann, J., Thiele, I., &amp; </w:t>
      </w:r>
      <w:proofErr w:type="spellStart"/>
      <w:r w:rsidRPr="0048398F">
        <w:rPr>
          <w:rFonts w:cstheme="minorHAnsi"/>
          <w:sz w:val="24"/>
          <w:szCs w:val="24"/>
          <w:shd w:val="clear" w:color="auto" w:fill="FFFFFF"/>
        </w:rPr>
        <w:t>Tuohy</w:t>
      </w:r>
      <w:proofErr w:type="spellEnd"/>
      <w:r w:rsidRPr="0048398F">
        <w:rPr>
          <w:rFonts w:cstheme="minorHAnsi"/>
          <w:sz w:val="24"/>
          <w:szCs w:val="24"/>
          <w:shd w:val="clear" w:color="auto" w:fill="FFFFFF"/>
        </w:rPr>
        <w:t xml:space="preserve">, K. (2018). Gut </w:t>
      </w:r>
      <w:proofErr w:type="spellStart"/>
      <w:r w:rsidRPr="0048398F">
        <w:rPr>
          <w:rFonts w:cstheme="minorHAnsi"/>
          <w:sz w:val="24"/>
          <w:szCs w:val="24"/>
          <w:shd w:val="clear" w:color="auto" w:fill="FFFFFF"/>
        </w:rPr>
        <w:t>microbiota</w:t>
      </w:r>
      <w:proofErr w:type="spellEnd"/>
      <w:r w:rsidRPr="0048398F">
        <w:rPr>
          <w:rFonts w:cstheme="minorHAnsi"/>
          <w:sz w:val="24"/>
          <w:szCs w:val="24"/>
          <w:shd w:val="clear" w:color="auto" w:fill="FFFFFF"/>
        </w:rPr>
        <w:t xml:space="preserve"> functions: metabolism of nutrients and other food components. </w:t>
      </w:r>
      <w:r w:rsidRPr="0048398F">
        <w:rPr>
          <w:rFonts w:cstheme="minorHAnsi"/>
          <w:i/>
          <w:iCs/>
          <w:sz w:val="24"/>
          <w:szCs w:val="24"/>
          <w:shd w:val="clear" w:color="auto" w:fill="FFFFFF"/>
        </w:rPr>
        <w:t>European journal of nutrition</w:t>
      </w:r>
      <w:r w:rsidRPr="0048398F">
        <w:rPr>
          <w:rFonts w:cstheme="minorHAnsi"/>
          <w:sz w:val="24"/>
          <w:szCs w:val="24"/>
          <w:shd w:val="clear" w:color="auto" w:fill="FFFFFF"/>
        </w:rPr>
        <w:t>, </w:t>
      </w:r>
      <w:r w:rsidRPr="0048398F">
        <w:rPr>
          <w:rFonts w:cstheme="minorHAnsi"/>
          <w:i/>
          <w:iCs/>
          <w:sz w:val="24"/>
          <w:szCs w:val="24"/>
          <w:shd w:val="clear" w:color="auto" w:fill="FFFFFF"/>
        </w:rPr>
        <w:t>57</w:t>
      </w:r>
      <w:r w:rsidRPr="0048398F">
        <w:rPr>
          <w:rFonts w:cstheme="minorHAnsi"/>
          <w:sz w:val="24"/>
          <w:szCs w:val="24"/>
          <w:shd w:val="clear" w:color="auto" w:fill="FFFFFF"/>
        </w:rPr>
        <w:t>(1), 1-24.</w:t>
      </w:r>
      <w:r w:rsidR="00691397" w:rsidRPr="00691397">
        <w:t xml:space="preserve"> </w:t>
      </w:r>
      <w:hyperlink r:id="rId15" w:history="1">
        <w:r w:rsidR="00691397" w:rsidRPr="00111C6A">
          <w:rPr>
            <w:rStyle w:val="Hyperlink"/>
            <w:rFonts w:cstheme="minorHAnsi"/>
            <w:sz w:val="24"/>
            <w:szCs w:val="24"/>
            <w:shd w:val="clear" w:color="auto" w:fill="FFFFFF"/>
          </w:rPr>
          <w:t>https://link.springer.com/article/10.1007/s00394-017-1445-8</w:t>
        </w:r>
      </w:hyperlink>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lastRenderedPageBreak/>
        <w:t>Zinöcker</w:t>
      </w:r>
      <w:proofErr w:type="spellEnd"/>
      <w:r w:rsidRPr="0048398F">
        <w:rPr>
          <w:rFonts w:cstheme="minorHAnsi"/>
          <w:sz w:val="24"/>
          <w:szCs w:val="24"/>
        </w:rPr>
        <w:t xml:space="preserve">, M. K., &amp; </w:t>
      </w:r>
      <w:proofErr w:type="spellStart"/>
      <w:r w:rsidRPr="0048398F">
        <w:rPr>
          <w:rFonts w:cstheme="minorHAnsi"/>
          <w:sz w:val="24"/>
          <w:szCs w:val="24"/>
        </w:rPr>
        <w:t>Lindseth</w:t>
      </w:r>
      <w:proofErr w:type="spellEnd"/>
      <w:r w:rsidRPr="0048398F">
        <w:rPr>
          <w:rFonts w:cstheme="minorHAnsi"/>
          <w:sz w:val="24"/>
          <w:szCs w:val="24"/>
        </w:rPr>
        <w:t>, I. A. (2018). The Western diet–</w:t>
      </w:r>
      <w:proofErr w:type="spellStart"/>
      <w:r w:rsidRPr="0048398F">
        <w:rPr>
          <w:rFonts w:cstheme="minorHAnsi"/>
          <w:sz w:val="24"/>
          <w:szCs w:val="24"/>
        </w:rPr>
        <w:t>microbiome</w:t>
      </w:r>
      <w:proofErr w:type="spellEnd"/>
      <w:r w:rsidRPr="0048398F">
        <w:rPr>
          <w:rFonts w:cstheme="minorHAnsi"/>
          <w:sz w:val="24"/>
          <w:szCs w:val="24"/>
        </w:rPr>
        <w:t>-host interaction and its role in metabolic disease. Nutrients, 10(3), 365</w:t>
      </w:r>
      <w:hyperlink r:id="rId16" w:history="1">
        <w:r w:rsidRPr="00111C6A">
          <w:rPr>
            <w:rStyle w:val="Hyperlink"/>
            <w:rFonts w:cstheme="minorHAnsi"/>
            <w:sz w:val="24"/>
            <w:szCs w:val="24"/>
          </w:rPr>
          <w:t>.</w:t>
        </w:r>
        <w:r w:rsidR="00691397" w:rsidRPr="00111C6A">
          <w:rPr>
            <w:rStyle w:val="Hyperlink"/>
          </w:rPr>
          <w:t xml:space="preserve"> </w:t>
        </w:r>
        <w:r w:rsidR="00691397" w:rsidRPr="00111C6A">
          <w:rPr>
            <w:rStyle w:val="Hyperlink"/>
            <w:rFonts w:cstheme="minorHAnsi"/>
            <w:sz w:val="24"/>
            <w:szCs w:val="24"/>
          </w:rPr>
          <w:t>https://www.mdpi.com/2072-6643/10/3/365</w:t>
        </w:r>
      </w:hyperlink>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C21B59" w:rsidRPr="00754D11"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t>Zoetendal</w:t>
      </w:r>
      <w:proofErr w:type="spellEnd"/>
      <w:r w:rsidRPr="0048398F">
        <w:rPr>
          <w:rFonts w:cstheme="minorHAnsi"/>
          <w:sz w:val="24"/>
          <w:szCs w:val="24"/>
        </w:rPr>
        <w:t xml:space="preserve">, E. G., Vaughan, E. E., &amp; De </w:t>
      </w:r>
      <w:proofErr w:type="spellStart"/>
      <w:r w:rsidRPr="0048398F">
        <w:rPr>
          <w:rFonts w:cstheme="minorHAnsi"/>
          <w:sz w:val="24"/>
          <w:szCs w:val="24"/>
        </w:rPr>
        <w:t>Vos</w:t>
      </w:r>
      <w:proofErr w:type="spellEnd"/>
      <w:r w:rsidRPr="0048398F">
        <w:rPr>
          <w:rFonts w:cstheme="minorHAnsi"/>
          <w:sz w:val="24"/>
          <w:szCs w:val="24"/>
        </w:rPr>
        <w:t>, W. M. (2006). A microbial world within us. Molecular microbiology, 59(6), 1639-1650.</w:t>
      </w:r>
      <w:r w:rsidR="00691397" w:rsidRPr="00691397">
        <w:t xml:space="preserve"> </w:t>
      </w:r>
      <w:hyperlink r:id="rId17" w:history="1">
        <w:r w:rsidR="00691397" w:rsidRPr="00111C6A">
          <w:rPr>
            <w:rStyle w:val="Hyperlink"/>
            <w:rFonts w:cstheme="minorHAnsi"/>
            <w:sz w:val="24"/>
            <w:szCs w:val="24"/>
          </w:rPr>
          <w:t>https://www.nature.com/articles/nprot.2006.143</w:t>
        </w:r>
      </w:hyperlink>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7A750D" w:rsidRPr="0048398F" w:rsidRDefault="007A750D" w:rsidP="00D222E6">
      <w:pPr>
        <w:spacing w:line="276" w:lineRule="auto"/>
        <w:jc w:val="center"/>
        <w:rPr>
          <w:rFonts w:asciiTheme="minorHAnsi" w:hAnsiTheme="minorHAnsi" w:cstheme="minorHAnsi"/>
          <w:szCs w:val="24"/>
        </w:rPr>
      </w:pPr>
    </w:p>
    <w:sectPr w:rsidR="007A750D" w:rsidRPr="0048398F">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7A" w:rsidRDefault="00EF107A">
      <w:pPr>
        <w:spacing w:after="0" w:line="240" w:lineRule="auto"/>
      </w:pPr>
      <w:r>
        <w:separator/>
      </w:r>
    </w:p>
  </w:endnote>
  <w:endnote w:type="continuationSeparator" w:id="0">
    <w:p w:rsidR="00EF107A" w:rsidRDefault="00EF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7A" w:rsidRDefault="00EF107A">
      <w:pPr>
        <w:spacing w:after="0" w:line="240" w:lineRule="auto"/>
      </w:pPr>
      <w:r>
        <w:separator/>
      </w:r>
    </w:p>
  </w:footnote>
  <w:footnote w:type="continuationSeparator" w:id="0">
    <w:p w:rsidR="00EF107A" w:rsidRDefault="00EF1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142924"/>
      <w:docPartObj>
        <w:docPartGallery w:val="Page Numbers (Top of Page)"/>
        <w:docPartUnique/>
      </w:docPartObj>
    </w:sdtPr>
    <w:sdtEndPr>
      <w:rPr>
        <w:noProof/>
      </w:rPr>
    </w:sdtEndPr>
    <w:sdtContent>
      <w:p w:rsidR="004C7C36" w:rsidRDefault="004C29D9">
        <w:pPr>
          <w:pStyle w:val="Header"/>
          <w:jc w:val="right"/>
        </w:pPr>
        <w:r>
          <w:fldChar w:fldCharType="begin"/>
        </w:r>
        <w:r>
          <w:instrText xml:space="preserve"> PAGE   \* MERGEFORMAT </w:instrText>
        </w:r>
        <w:r>
          <w:fldChar w:fldCharType="separate"/>
        </w:r>
        <w:r w:rsidR="00055B7C">
          <w:rPr>
            <w:noProof/>
          </w:rPr>
          <w:t>13</w:t>
        </w:r>
        <w:r>
          <w:rPr>
            <w:noProof/>
          </w:rPr>
          <w:fldChar w:fldCharType="end"/>
        </w:r>
      </w:p>
    </w:sdtContent>
  </w:sdt>
  <w:p w:rsidR="004C7C36" w:rsidRDefault="004C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28A5"/>
    <w:multiLevelType w:val="hybridMultilevel"/>
    <w:tmpl w:val="ECB0E5A6"/>
    <w:lvl w:ilvl="0" w:tplc="0E7CF5C6">
      <w:start w:val="1"/>
      <w:numFmt w:val="decimal"/>
      <w:lvlText w:val="%1."/>
      <w:lvlJc w:val="left"/>
      <w:pPr>
        <w:ind w:left="720" w:hanging="360"/>
      </w:pPr>
    </w:lvl>
    <w:lvl w:ilvl="1" w:tplc="3342DEDC" w:tentative="1">
      <w:start w:val="1"/>
      <w:numFmt w:val="lowerLetter"/>
      <w:lvlText w:val="%2."/>
      <w:lvlJc w:val="left"/>
      <w:pPr>
        <w:ind w:left="1440" w:hanging="360"/>
      </w:pPr>
    </w:lvl>
    <w:lvl w:ilvl="2" w:tplc="588A12C4" w:tentative="1">
      <w:start w:val="1"/>
      <w:numFmt w:val="lowerRoman"/>
      <w:lvlText w:val="%3."/>
      <w:lvlJc w:val="right"/>
      <w:pPr>
        <w:ind w:left="2160" w:hanging="180"/>
      </w:pPr>
    </w:lvl>
    <w:lvl w:ilvl="3" w:tplc="668A1D6E" w:tentative="1">
      <w:start w:val="1"/>
      <w:numFmt w:val="decimal"/>
      <w:lvlText w:val="%4."/>
      <w:lvlJc w:val="left"/>
      <w:pPr>
        <w:ind w:left="2880" w:hanging="360"/>
      </w:pPr>
    </w:lvl>
    <w:lvl w:ilvl="4" w:tplc="6C3834B8" w:tentative="1">
      <w:start w:val="1"/>
      <w:numFmt w:val="lowerLetter"/>
      <w:lvlText w:val="%5."/>
      <w:lvlJc w:val="left"/>
      <w:pPr>
        <w:ind w:left="3600" w:hanging="360"/>
      </w:pPr>
    </w:lvl>
    <w:lvl w:ilvl="5" w:tplc="F2564D7A" w:tentative="1">
      <w:start w:val="1"/>
      <w:numFmt w:val="lowerRoman"/>
      <w:lvlText w:val="%6."/>
      <w:lvlJc w:val="right"/>
      <w:pPr>
        <w:ind w:left="4320" w:hanging="180"/>
      </w:pPr>
    </w:lvl>
    <w:lvl w:ilvl="6" w:tplc="B33CB1A6" w:tentative="1">
      <w:start w:val="1"/>
      <w:numFmt w:val="decimal"/>
      <w:lvlText w:val="%7."/>
      <w:lvlJc w:val="left"/>
      <w:pPr>
        <w:ind w:left="5040" w:hanging="360"/>
      </w:pPr>
    </w:lvl>
    <w:lvl w:ilvl="7" w:tplc="D4461CCC" w:tentative="1">
      <w:start w:val="1"/>
      <w:numFmt w:val="lowerLetter"/>
      <w:lvlText w:val="%8."/>
      <w:lvlJc w:val="left"/>
      <w:pPr>
        <w:ind w:left="5760" w:hanging="360"/>
      </w:pPr>
    </w:lvl>
    <w:lvl w:ilvl="8" w:tplc="1166E426" w:tentative="1">
      <w:start w:val="1"/>
      <w:numFmt w:val="lowerRoman"/>
      <w:lvlText w:val="%9."/>
      <w:lvlJc w:val="right"/>
      <w:pPr>
        <w:ind w:left="6480" w:hanging="180"/>
      </w:pPr>
    </w:lvl>
  </w:abstractNum>
  <w:abstractNum w:abstractNumId="1">
    <w:nsid w:val="5452034F"/>
    <w:multiLevelType w:val="hybridMultilevel"/>
    <w:tmpl w:val="437A1070"/>
    <w:lvl w:ilvl="0" w:tplc="7874776A">
      <w:start w:val="1"/>
      <w:numFmt w:val="decimal"/>
      <w:lvlText w:val="%1."/>
      <w:lvlJc w:val="left"/>
      <w:pPr>
        <w:ind w:left="720" w:hanging="360"/>
      </w:pPr>
    </w:lvl>
    <w:lvl w:ilvl="1" w:tplc="81DA0B6A" w:tentative="1">
      <w:start w:val="1"/>
      <w:numFmt w:val="lowerLetter"/>
      <w:lvlText w:val="%2."/>
      <w:lvlJc w:val="left"/>
      <w:pPr>
        <w:ind w:left="1440" w:hanging="360"/>
      </w:pPr>
    </w:lvl>
    <w:lvl w:ilvl="2" w:tplc="44A0FB44" w:tentative="1">
      <w:start w:val="1"/>
      <w:numFmt w:val="lowerRoman"/>
      <w:lvlText w:val="%3."/>
      <w:lvlJc w:val="right"/>
      <w:pPr>
        <w:ind w:left="2160" w:hanging="180"/>
      </w:pPr>
    </w:lvl>
    <w:lvl w:ilvl="3" w:tplc="0B8683A8" w:tentative="1">
      <w:start w:val="1"/>
      <w:numFmt w:val="decimal"/>
      <w:lvlText w:val="%4."/>
      <w:lvlJc w:val="left"/>
      <w:pPr>
        <w:ind w:left="2880" w:hanging="360"/>
      </w:pPr>
    </w:lvl>
    <w:lvl w:ilvl="4" w:tplc="64A69418" w:tentative="1">
      <w:start w:val="1"/>
      <w:numFmt w:val="lowerLetter"/>
      <w:lvlText w:val="%5."/>
      <w:lvlJc w:val="left"/>
      <w:pPr>
        <w:ind w:left="3600" w:hanging="360"/>
      </w:pPr>
    </w:lvl>
    <w:lvl w:ilvl="5" w:tplc="BF4E9266" w:tentative="1">
      <w:start w:val="1"/>
      <w:numFmt w:val="lowerRoman"/>
      <w:lvlText w:val="%6."/>
      <w:lvlJc w:val="right"/>
      <w:pPr>
        <w:ind w:left="4320" w:hanging="180"/>
      </w:pPr>
    </w:lvl>
    <w:lvl w:ilvl="6" w:tplc="D81A1B12" w:tentative="1">
      <w:start w:val="1"/>
      <w:numFmt w:val="decimal"/>
      <w:lvlText w:val="%7."/>
      <w:lvlJc w:val="left"/>
      <w:pPr>
        <w:ind w:left="5040" w:hanging="360"/>
      </w:pPr>
    </w:lvl>
    <w:lvl w:ilvl="7" w:tplc="04DA918C" w:tentative="1">
      <w:start w:val="1"/>
      <w:numFmt w:val="lowerLetter"/>
      <w:lvlText w:val="%8."/>
      <w:lvlJc w:val="left"/>
      <w:pPr>
        <w:ind w:left="5760" w:hanging="360"/>
      </w:pPr>
    </w:lvl>
    <w:lvl w:ilvl="8" w:tplc="50B48E9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Q0MjCxNLE0t7Q0MzNX0lEKTi0uzszPAykwrAUAZ35k2iwAAAA="/>
  </w:docVars>
  <w:rsids>
    <w:rsidRoot w:val="004708FC"/>
    <w:rsid w:val="00055B7C"/>
    <w:rsid w:val="00064D87"/>
    <w:rsid w:val="000807B3"/>
    <w:rsid w:val="0009611E"/>
    <w:rsid w:val="000B43B0"/>
    <w:rsid w:val="000B5624"/>
    <w:rsid w:val="000E7D4A"/>
    <w:rsid w:val="000F60E9"/>
    <w:rsid w:val="00111C6A"/>
    <w:rsid w:val="00120094"/>
    <w:rsid w:val="00121B6D"/>
    <w:rsid w:val="00157AF1"/>
    <w:rsid w:val="001E7B6E"/>
    <w:rsid w:val="00295933"/>
    <w:rsid w:val="002E782F"/>
    <w:rsid w:val="002F394C"/>
    <w:rsid w:val="0031643D"/>
    <w:rsid w:val="003256D6"/>
    <w:rsid w:val="003436D3"/>
    <w:rsid w:val="00347DD7"/>
    <w:rsid w:val="003C04A5"/>
    <w:rsid w:val="003C50C9"/>
    <w:rsid w:val="003F3E41"/>
    <w:rsid w:val="004266A9"/>
    <w:rsid w:val="00461217"/>
    <w:rsid w:val="0046228A"/>
    <w:rsid w:val="0046760A"/>
    <w:rsid w:val="004708FC"/>
    <w:rsid w:val="0048398F"/>
    <w:rsid w:val="004C29D9"/>
    <w:rsid w:val="004C3752"/>
    <w:rsid w:val="004C7C36"/>
    <w:rsid w:val="00500592"/>
    <w:rsid w:val="00516F27"/>
    <w:rsid w:val="00572AA1"/>
    <w:rsid w:val="005C4014"/>
    <w:rsid w:val="005F5530"/>
    <w:rsid w:val="00613A00"/>
    <w:rsid w:val="00615017"/>
    <w:rsid w:val="00667EBC"/>
    <w:rsid w:val="00691397"/>
    <w:rsid w:val="006E40A1"/>
    <w:rsid w:val="00737703"/>
    <w:rsid w:val="0074358F"/>
    <w:rsid w:val="00754D11"/>
    <w:rsid w:val="00761249"/>
    <w:rsid w:val="007A750D"/>
    <w:rsid w:val="007B4156"/>
    <w:rsid w:val="007C6678"/>
    <w:rsid w:val="007D0706"/>
    <w:rsid w:val="007D2E68"/>
    <w:rsid w:val="007E0CB3"/>
    <w:rsid w:val="007E76BE"/>
    <w:rsid w:val="00806A7D"/>
    <w:rsid w:val="0084437D"/>
    <w:rsid w:val="00893CC1"/>
    <w:rsid w:val="008A0150"/>
    <w:rsid w:val="009A160D"/>
    <w:rsid w:val="00A13321"/>
    <w:rsid w:val="00A5473F"/>
    <w:rsid w:val="00AB53E3"/>
    <w:rsid w:val="00B71190"/>
    <w:rsid w:val="00C00604"/>
    <w:rsid w:val="00C12085"/>
    <w:rsid w:val="00C153BB"/>
    <w:rsid w:val="00C21B59"/>
    <w:rsid w:val="00C43199"/>
    <w:rsid w:val="00C50B9A"/>
    <w:rsid w:val="00C93FF8"/>
    <w:rsid w:val="00CA7B93"/>
    <w:rsid w:val="00CF08F7"/>
    <w:rsid w:val="00D0074E"/>
    <w:rsid w:val="00D11F83"/>
    <w:rsid w:val="00D222E6"/>
    <w:rsid w:val="00D47732"/>
    <w:rsid w:val="00D817AE"/>
    <w:rsid w:val="00DD29D0"/>
    <w:rsid w:val="00E0475C"/>
    <w:rsid w:val="00E15F8A"/>
    <w:rsid w:val="00E546BF"/>
    <w:rsid w:val="00E80C66"/>
    <w:rsid w:val="00E87A45"/>
    <w:rsid w:val="00E91479"/>
    <w:rsid w:val="00E97D7D"/>
    <w:rsid w:val="00EB590D"/>
    <w:rsid w:val="00ED5F60"/>
    <w:rsid w:val="00EE232A"/>
    <w:rsid w:val="00EF107A"/>
    <w:rsid w:val="00F2757B"/>
    <w:rsid w:val="00F57CB3"/>
    <w:rsid w:val="00F75A2C"/>
    <w:rsid w:val="00F95DAD"/>
    <w:rsid w:val="00FD600D"/>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sciencemag.org/content/352/6293/1533.abstract" TargetMode="External"/><Relationship Id="rId13" Type="http://schemas.openxmlformats.org/officeDocument/2006/relationships/hyperlink" Target="https://journals.physiology.org/doi/abs/10.1152/ajpregu.00551.2012"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cademic.oup.com/jn/article-abstract/149/11/1882/5542976" TargetMode="External"/><Relationship Id="rId17" Type="http://schemas.openxmlformats.org/officeDocument/2006/relationships/hyperlink" Target="https://www.nature.com/articles/nprot.2006.143" TargetMode="External"/><Relationship Id="rId2" Type="http://schemas.openxmlformats.org/officeDocument/2006/relationships/styles" Target="styles.xml"/><Relationship Id="rId16" Type="http://schemas.openxmlformats.org/officeDocument/2006/relationships/hyperlink" Target="file:///C:\Users\user\Downloads\.%20https:\www.mdpi.com\2072-6643\10\3\3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andfonline.com/doi/abs/10.3402/mehd.v26.26164" TargetMode="External"/><Relationship Id="rId5" Type="http://schemas.openxmlformats.org/officeDocument/2006/relationships/webSettings" Target="webSettings.xml"/><Relationship Id="rId15" Type="http://schemas.openxmlformats.org/officeDocument/2006/relationships/hyperlink" Target="https://link.springer.com/article/10.1007/s00394-017-1445-8" TargetMode="External"/><Relationship Id="rId10" Type="http://schemas.openxmlformats.org/officeDocument/2006/relationships/hyperlink" Target="https://www.liebertpub.com/doi/abs/10.1089/jmf.2014.7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26963713/" TargetMode="External"/><Relationship Id="rId14" Type="http://schemas.openxmlformats.org/officeDocument/2006/relationships/hyperlink" Target="https://academic.oup.com/ajcn/article-abstract/110/2/265/5527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2021-04-20T14:13:00Z</dcterms:created>
  <dcterms:modified xsi:type="dcterms:W3CDTF">2021-04-20T14:13:00Z</dcterms:modified>
</cp:coreProperties>
</file>